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01" w:rsidRDefault="00402301" w:rsidP="00BF78D1">
      <w:pPr>
        <w:contextualSpacing/>
        <w:jc w:val="center"/>
        <w:rPr>
          <w:b/>
        </w:rPr>
      </w:pPr>
      <w:r w:rsidRPr="00B617D6">
        <w:rPr>
          <w:b/>
        </w:rPr>
        <w:t>FAQ for the New Sales Tax (</w:t>
      </w:r>
      <w:r w:rsidR="00B617D6" w:rsidRPr="00B617D6">
        <w:rPr>
          <w:b/>
        </w:rPr>
        <w:t>ST) Accounting Reports</w:t>
      </w:r>
    </w:p>
    <w:p w:rsidR="00BF78D1" w:rsidRPr="00B617D6" w:rsidRDefault="00BF78D1" w:rsidP="00BF78D1">
      <w:pPr>
        <w:contextualSpacing/>
        <w:jc w:val="center"/>
        <w:rPr>
          <w:b/>
        </w:rPr>
      </w:pPr>
    </w:p>
    <w:p w:rsidR="00D7208C" w:rsidRDefault="00402301" w:rsidP="00BF78D1">
      <w:pPr>
        <w:contextualSpacing/>
      </w:pPr>
      <w:r>
        <w:t xml:space="preserve">Q: </w:t>
      </w:r>
      <w:r w:rsidRPr="00B617D6">
        <w:rPr>
          <w:b/>
        </w:rPr>
        <w:t>What transactions are included in each column of the reports?</w:t>
      </w:r>
    </w:p>
    <w:p w:rsidR="00402301" w:rsidRDefault="00402301" w:rsidP="00BF78D1">
      <w:pPr>
        <w:contextualSpacing/>
      </w:pPr>
      <w:r>
        <w:t xml:space="preserve">A: </w:t>
      </w:r>
      <w:r w:rsidR="0042324C">
        <w:t>The table below describes what is in each column:</w:t>
      </w:r>
    </w:p>
    <w:tbl>
      <w:tblPr>
        <w:tblStyle w:val="TableGrid"/>
        <w:tblW w:w="0" w:type="auto"/>
        <w:tblLook w:val="04A0" w:firstRow="1" w:lastRow="0" w:firstColumn="1" w:lastColumn="0" w:noHBand="0" w:noVBand="1"/>
      </w:tblPr>
      <w:tblGrid>
        <w:gridCol w:w="3078"/>
        <w:gridCol w:w="6498"/>
      </w:tblGrid>
      <w:tr w:rsidR="00402301" w:rsidTr="00402301">
        <w:tc>
          <w:tcPr>
            <w:tcW w:w="3078" w:type="dxa"/>
          </w:tcPr>
          <w:p w:rsidR="00402301" w:rsidRDefault="00402301" w:rsidP="00BF78D1">
            <w:pPr>
              <w:contextualSpacing/>
            </w:pPr>
            <w:r>
              <w:t>Column Name</w:t>
            </w:r>
          </w:p>
        </w:tc>
        <w:tc>
          <w:tcPr>
            <w:tcW w:w="6498" w:type="dxa"/>
          </w:tcPr>
          <w:p w:rsidR="00402301" w:rsidRDefault="00402301" w:rsidP="00BF78D1">
            <w:pPr>
              <w:contextualSpacing/>
            </w:pPr>
            <w:r>
              <w:t>Transactions Included</w:t>
            </w:r>
            <w:r w:rsidR="0042324C">
              <w:t>.</w:t>
            </w:r>
          </w:p>
        </w:tc>
      </w:tr>
      <w:tr w:rsidR="00402301" w:rsidTr="00402301">
        <w:tc>
          <w:tcPr>
            <w:tcW w:w="3078" w:type="dxa"/>
          </w:tcPr>
          <w:p w:rsidR="00402301" w:rsidRDefault="00402301" w:rsidP="00BF78D1">
            <w:pPr>
              <w:contextualSpacing/>
            </w:pPr>
            <w:r>
              <w:t xml:space="preserve">Sales Liability </w:t>
            </w:r>
            <w:proofErr w:type="spellStart"/>
            <w:r>
              <w:t>Qtr</w:t>
            </w:r>
            <w:proofErr w:type="spellEnd"/>
            <w:r>
              <w:t xml:space="preserve"> Ending</w:t>
            </w:r>
          </w:p>
        </w:tc>
        <w:tc>
          <w:tcPr>
            <w:tcW w:w="6498" w:type="dxa"/>
          </w:tcPr>
          <w:p w:rsidR="00402301" w:rsidRDefault="00402301" w:rsidP="00BF78D1">
            <w:pPr>
              <w:contextualSpacing/>
            </w:pPr>
            <w:r>
              <w:t>The three month ST liability quarter ending on the date specified. Aged is earlier than the oldest quarter shown</w:t>
            </w:r>
            <w:r w:rsidR="0042324C">
              <w:t>.</w:t>
            </w:r>
          </w:p>
        </w:tc>
      </w:tr>
      <w:tr w:rsidR="00402301" w:rsidTr="00402301">
        <w:tc>
          <w:tcPr>
            <w:tcW w:w="3078" w:type="dxa"/>
          </w:tcPr>
          <w:p w:rsidR="00402301" w:rsidRDefault="00402301" w:rsidP="00BF78D1">
            <w:pPr>
              <w:contextualSpacing/>
            </w:pPr>
            <w:r>
              <w:t>Payments (Excluding 1-22 EFT)</w:t>
            </w:r>
          </w:p>
        </w:tc>
        <w:tc>
          <w:tcPr>
            <w:tcW w:w="6498" w:type="dxa"/>
          </w:tcPr>
          <w:p w:rsidR="00402301" w:rsidRDefault="00402301" w:rsidP="00BF78D1">
            <w:pPr>
              <w:contextualSpacing/>
            </w:pPr>
            <w:r>
              <w:t xml:space="preserve">Payments received during the calendar month that are </w:t>
            </w:r>
            <w:r w:rsidRPr="000F194C">
              <w:rPr>
                <w:b/>
              </w:rPr>
              <w:t>not</w:t>
            </w:r>
            <w:r>
              <w:t xml:space="preserve"> 1-22 EFT. They could be prorated or distributed, depending on whether or not return was filed.</w:t>
            </w:r>
          </w:p>
        </w:tc>
      </w:tr>
      <w:tr w:rsidR="00402301" w:rsidTr="00402301">
        <w:tc>
          <w:tcPr>
            <w:tcW w:w="3078" w:type="dxa"/>
          </w:tcPr>
          <w:p w:rsidR="00402301" w:rsidRDefault="00402301" w:rsidP="00BF78D1">
            <w:pPr>
              <w:contextualSpacing/>
            </w:pPr>
            <w:r>
              <w:t>Payments (1-22 EFT)</w:t>
            </w:r>
          </w:p>
        </w:tc>
        <w:tc>
          <w:tcPr>
            <w:tcW w:w="6498" w:type="dxa"/>
          </w:tcPr>
          <w:p w:rsidR="00402301" w:rsidRDefault="00402301" w:rsidP="00BF78D1">
            <w:pPr>
              <w:contextualSpacing/>
            </w:pPr>
            <w:r>
              <w:t>Prorated 1-22 EFT payments received in the calendar month.</w:t>
            </w:r>
          </w:p>
        </w:tc>
      </w:tr>
      <w:tr w:rsidR="00402301" w:rsidTr="00402301">
        <w:tc>
          <w:tcPr>
            <w:tcW w:w="3078" w:type="dxa"/>
          </w:tcPr>
          <w:p w:rsidR="00402301" w:rsidRDefault="00034DC0" w:rsidP="00BF78D1">
            <w:pPr>
              <w:contextualSpacing/>
            </w:pPr>
            <w:r>
              <w:t>Bank Adjustments</w:t>
            </w:r>
          </w:p>
        </w:tc>
        <w:tc>
          <w:tcPr>
            <w:tcW w:w="6498" w:type="dxa"/>
          </w:tcPr>
          <w:p w:rsidR="00402301" w:rsidRDefault="00034DC0" w:rsidP="00BF78D1">
            <w:pPr>
              <w:contextualSpacing/>
            </w:pPr>
            <w:r>
              <w:t>Returned checks, debit memos, credit memos, &amp; rejected electronic payments</w:t>
            </w:r>
            <w:r w:rsidR="0042324C">
              <w:t>.</w:t>
            </w:r>
          </w:p>
        </w:tc>
      </w:tr>
      <w:tr w:rsidR="00402301" w:rsidTr="00402301">
        <w:tc>
          <w:tcPr>
            <w:tcW w:w="3078" w:type="dxa"/>
          </w:tcPr>
          <w:p w:rsidR="00402301" w:rsidRDefault="00034DC0" w:rsidP="00BF78D1">
            <w:pPr>
              <w:contextualSpacing/>
            </w:pPr>
            <w:r>
              <w:t>Retargets</w:t>
            </w:r>
          </w:p>
        </w:tc>
        <w:tc>
          <w:tcPr>
            <w:tcW w:w="6498" w:type="dxa"/>
          </w:tcPr>
          <w:p w:rsidR="00402301" w:rsidRDefault="00034DC0" w:rsidP="00BF78D1">
            <w:pPr>
              <w:contextualSpacing/>
            </w:pPr>
            <w:r>
              <w:t>Movements of money from one ST return to another</w:t>
            </w:r>
            <w:r w:rsidR="0042324C">
              <w:t>.</w:t>
            </w:r>
          </w:p>
        </w:tc>
      </w:tr>
      <w:tr w:rsidR="00034DC0" w:rsidTr="00402301">
        <w:tc>
          <w:tcPr>
            <w:tcW w:w="3078" w:type="dxa"/>
          </w:tcPr>
          <w:p w:rsidR="00034DC0" w:rsidRDefault="00034DC0" w:rsidP="00BF78D1">
            <w:pPr>
              <w:contextualSpacing/>
            </w:pPr>
            <w:r>
              <w:t>Transfers to and from Other Taxes</w:t>
            </w:r>
          </w:p>
        </w:tc>
        <w:tc>
          <w:tcPr>
            <w:tcW w:w="6498" w:type="dxa"/>
          </w:tcPr>
          <w:p w:rsidR="00034DC0" w:rsidRDefault="00034DC0" w:rsidP="00BF78D1">
            <w:pPr>
              <w:contextualSpacing/>
            </w:pPr>
            <w:r>
              <w:t>Corrections of incorrectly deposited payments, e.g. ST money deposited into a Withholding tax in error, or vice versa.</w:t>
            </w:r>
          </w:p>
        </w:tc>
      </w:tr>
      <w:tr w:rsidR="00034DC0" w:rsidTr="00402301">
        <w:tc>
          <w:tcPr>
            <w:tcW w:w="3078" w:type="dxa"/>
          </w:tcPr>
          <w:p w:rsidR="00034DC0" w:rsidRDefault="00034DC0" w:rsidP="00BF78D1">
            <w:pPr>
              <w:contextualSpacing/>
            </w:pPr>
            <w:r>
              <w:t>Distribution Adjustments</w:t>
            </w:r>
          </w:p>
        </w:tc>
        <w:tc>
          <w:tcPr>
            <w:tcW w:w="6498" w:type="dxa"/>
          </w:tcPr>
          <w:p w:rsidR="00034DC0" w:rsidRPr="00034DC0" w:rsidRDefault="00034DC0" w:rsidP="00BF78D1">
            <w:pPr>
              <w:contextualSpacing/>
              <w:rPr>
                <w:i/>
              </w:rPr>
            </w:pPr>
            <w:r>
              <w:t xml:space="preserve">The un-proration of prepayment money and the redistribution of those payments according to the return, return adjustments, amended return processing adjustments, etc. </w:t>
            </w:r>
            <w:r w:rsidRPr="00034DC0">
              <w:rPr>
                <w:i/>
              </w:rPr>
              <w:t xml:space="preserve">Note: With quarterly return due dates in March, June, September and December;  You will get more money this month if the prepayments from the earlier months were under-distributed and less money if they were over-distributed. Please see the table at the end of this document for additional information related to the timing of payment transactions.  </w:t>
            </w:r>
          </w:p>
          <w:p w:rsidR="00034DC0" w:rsidRDefault="00034DC0" w:rsidP="00BF78D1">
            <w:pPr>
              <w:contextualSpacing/>
            </w:pPr>
          </w:p>
        </w:tc>
      </w:tr>
      <w:tr w:rsidR="00034DC0" w:rsidTr="00402301">
        <w:tc>
          <w:tcPr>
            <w:tcW w:w="3078" w:type="dxa"/>
          </w:tcPr>
          <w:p w:rsidR="00034DC0" w:rsidRDefault="00FD7C4C" w:rsidP="00BF78D1">
            <w:pPr>
              <w:contextualSpacing/>
            </w:pPr>
            <w:r>
              <w:t>Refunds</w:t>
            </w:r>
          </w:p>
        </w:tc>
        <w:tc>
          <w:tcPr>
            <w:tcW w:w="6498" w:type="dxa"/>
          </w:tcPr>
          <w:p w:rsidR="00034DC0" w:rsidRDefault="00FD7C4C" w:rsidP="00BF78D1">
            <w:pPr>
              <w:contextualSpacing/>
            </w:pPr>
            <w:r>
              <w:t>Refunds to taxpayers or refunds offset to pay ST or other tax liabilities on our accounts receivable system (CARTS).</w:t>
            </w:r>
          </w:p>
        </w:tc>
      </w:tr>
      <w:tr w:rsidR="00034DC0" w:rsidTr="00402301">
        <w:tc>
          <w:tcPr>
            <w:tcW w:w="3078" w:type="dxa"/>
          </w:tcPr>
          <w:p w:rsidR="00034DC0" w:rsidRDefault="00FD7C4C" w:rsidP="00BF78D1">
            <w:pPr>
              <w:contextualSpacing/>
            </w:pPr>
            <w:r>
              <w:t>Credit Forwards</w:t>
            </w:r>
          </w:p>
        </w:tc>
        <w:tc>
          <w:tcPr>
            <w:tcW w:w="6498" w:type="dxa"/>
          </w:tcPr>
          <w:p w:rsidR="00034DC0" w:rsidRDefault="0042324C" w:rsidP="00BF78D1">
            <w:pPr>
              <w:contextualSpacing/>
            </w:pPr>
            <w:r>
              <w:t>E</w:t>
            </w:r>
            <w:r w:rsidR="00FD7C4C">
              <w:t>xcess money moved from one liability period (return) forward or reversals</w:t>
            </w:r>
            <w:r>
              <w:t>.</w:t>
            </w:r>
          </w:p>
        </w:tc>
      </w:tr>
      <w:tr w:rsidR="00034DC0" w:rsidTr="00402301">
        <w:tc>
          <w:tcPr>
            <w:tcW w:w="3078" w:type="dxa"/>
          </w:tcPr>
          <w:p w:rsidR="00034DC0" w:rsidRDefault="00FD7C4C" w:rsidP="00BF78D1">
            <w:pPr>
              <w:contextualSpacing/>
            </w:pPr>
            <w:r>
              <w:t>Assessment Collections</w:t>
            </w:r>
          </w:p>
        </w:tc>
        <w:tc>
          <w:tcPr>
            <w:tcW w:w="6498" w:type="dxa"/>
          </w:tcPr>
          <w:p w:rsidR="00FD7C4C" w:rsidRPr="00FD7C4C" w:rsidRDefault="00FD7C4C" w:rsidP="00BF78D1">
            <w:pPr>
              <w:contextualSpacing/>
              <w:rPr>
                <w:color w:val="CC00FF"/>
              </w:rPr>
            </w:pPr>
            <w:r>
              <w:t xml:space="preserve">Share of accounts receivable (CARTS) collections paid by vendors or offset from refunds due taxpayers for the month.  Transfers into and out of CARTS to the tax processing systems for misapplied payments. The liability period information is known for transfers. The payments do not have liability period information and post to ‘Aged’. </w:t>
            </w:r>
            <w:r w:rsidRPr="00FD7C4C">
              <w:rPr>
                <w:color w:val="CC00CC"/>
              </w:rPr>
              <w:t xml:space="preserve"> </w:t>
            </w:r>
          </w:p>
          <w:p w:rsidR="00034DC0" w:rsidRDefault="00034DC0" w:rsidP="00BF78D1">
            <w:pPr>
              <w:contextualSpacing/>
            </w:pPr>
          </w:p>
        </w:tc>
      </w:tr>
      <w:tr w:rsidR="00034DC0" w:rsidTr="00402301">
        <w:tc>
          <w:tcPr>
            <w:tcW w:w="3078" w:type="dxa"/>
          </w:tcPr>
          <w:p w:rsidR="00034DC0" w:rsidRDefault="00FD7C4C" w:rsidP="00BF78D1">
            <w:pPr>
              <w:contextualSpacing/>
            </w:pPr>
            <w:r w:rsidRPr="000B4A54">
              <w:t>Use Tax from PIT Returns</w:t>
            </w:r>
          </w:p>
        </w:tc>
        <w:tc>
          <w:tcPr>
            <w:tcW w:w="6498" w:type="dxa"/>
          </w:tcPr>
          <w:p w:rsidR="00FD7C4C" w:rsidRPr="000B4A54" w:rsidRDefault="00035DE3" w:rsidP="00BF78D1">
            <w:pPr>
              <w:contextualSpacing/>
            </w:pPr>
            <w:r>
              <w:t>ST</w:t>
            </w:r>
            <w:r w:rsidR="00FD7C4C" w:rsidRPr="000B4A54">
              <w:t xml:space="preserve"> money collected on NYS Personal Income Tax returns processed during the month.</w:t>
            </w:r>
          </w:p>
          <w:p w:rsidR="00034DC0" w:rsidRDefault="00034DC0" w:rsidP="00BF78D1">
            <w:pPr>
              <w:contextualSpacing/>
            </w:pPr>
          </w:p>
        </w:tc>
      </w:tr>
      <w:tr w:rsidR="00FD7C4C" w:rsidTr="00402301">
        <w:tc>
          <w:tcPr>
            <w:tcW w:w="3078" w:type="dxa"/>
          </w:tcPr>
          <w:p w:rsidR="00FD7C4C" w:rsidRPr="000B4A54" w:rsidRDefault="00FD7C4C" w:rsidP="00BF78D1">
            <w:pPr>
              <w:contextualSpacing/>
            </w:pPr>
            <w:r w:rsidRPr="000B4A54">
              <w:t>MTA Held Harmless</w:t>
            </w:r>
          </w:p>
        </w:tc>
        <w:tc>
          <w:tcPr>
            <w:tcW w:w="6498" w:type="dxa"/>
          </w:tcPr>
          <w:p w:rsidR="00FD7C4C" w:rsidRDefault="00FD7C4C" w:rsidP="00BF78D1">
            <w:pPr>
              <w:contextualSpacing/>
            </w:pPr>
            <w:r w:rsidRPr="000B4A54">
              <w:t>Adjustments resulting from provisions in the ST Law that require holding MTA harmless, e.g. for clothing and motor fuel</w:t>
            </w:r>
            <w:r w:rsidR="0042324C">
              <w:t>.</w:t>
            </w:r>
          </w:p>
        </w:tc>
      </w:tr>
      <w:tr w:rsidR="00FD7C4C" w:rsidTr="00402301">
        <w:tc>
          <w:tcPr>
            <w:tcW w:w="3078" w:type="dxa"/>
          </w:tcPr>
          <w:p w:rsidR="00FD7C4C" w:rsidRPr="000B4A54" w:rsidRDefault="0042324C" w:rsidP="00BF78D1">
            <w:pPr>
              <w:contextualSpacing/>
            </w:pPr>
            <w:r w:rsidRPr="000B4A54">
              <w:t>Administrative Charges</w:t>
            </w:r>
          </w:p>
        </w:tc>
        <w:tc>
          <w:tcPr>
            <w:tcW w:w="6498" w:type="dxa"/>
          </w:tcPr>
          <w:p w:rsidR="00FD7C4C" w:rsidRDefault="0042324C" w:rsidP="00BF78D1">
            <w:pPr>
              <w:contextualSpacing/>
            </w:pPr>
            <w:r w:rsidRPr="000B4A54">
              <w:t xml:space="preserve">Amounts charged for administration of </w:t>
            </w:r>
            <w:r>
              <w:t>ST.</w:t>
            </w:r>
          </w:p>
        </w:tc>
      </w:tr>
      <w:tr w:rsidR="00FD7C4C" w:rsidTr="00402301">
        <w:tc>
          <w:tcPr>
            <w:tcW w:w="3078" w:type="dxa"/>
          </w:tcPr>
          <w:p w:rsidR="00FD7C4C" w:rsidRPr="000B4A54" w:rsidRDefault="0042324C" w:rsidP="00BF78D1">
            <w:pPr>
              <w:contextualSpacing/>
            </w:pPr>
            <w:r w:rsidRPr="000B4A54">
              <w:t>Other</w:t>
            </w:r>
          </w:p>
        </w:tc>
        <w:tc>
          <w:tcPr>
            <w:tcW w:w="6498" w:type="dxa"/>
          </w:tcPr>
          <w:p w:rsidR="00FD7C4C" w:rsidRDefault="0042324C" w:rsidP="00BF78D1">
            <w:pPr>
              <w:contextualSpacing/>
            </w:pPr>
            <w:r w:rsidRPr="000B4A54">
              <w:t>Special adjustments and reconciling items</w:t>
            </w:r>
            <w:r>
              <w:t>.</w:t>
            </w:r>
          </w:p>
        </w:tc>
      </w:tr>
    </w:tbl>
    <w:p w:rsidR="00402301" w:rsidRDefault="00402301" w:rsidP="00BF78D1">
      <w:pPr>
        <w:contextualSpacing/>
      </w:pPr>
    </w:p>
    <w:p w:rsidR="0042324C" w:rsidRDefault="00B617D6" w:rsidP="00BF78D1">
      <w:pPr>
        <w:spacing w:line="240" w:lineRule="auto"/>
        <w:contextualSpacing/>
      </w:pPr>
      <w:r>
        <w:t xml:space="preserve">Q: </w:t>
      </w:r>
      <w:r w:rsidRPr="00B617D6">
        <w:rPr>
          <w:b/>
        </w:rPr>
        <w:t>What is the earliest available month of the reports?</w:t>
      </w:r>
    </w:p>
    <w:p w:rsidR="00B617D6" w:rsidRDefault="00B617D6" w:rsidP="00BF78D1">
      <w:pPr>
        <w:spacing w:line="240" w:lineRule="auto"/>
        <w:contextualSpacing/>
      </w:pPr>
      <w:r>
        <w:t>A: The five new reports will begin with the month of April 2016.</w:t>
      </w:r>
    </w:p>
    <w:p w:rsidR="00890D56" w:rsidRDefault="00890D56" w:rsidP="00BF78D1">
      <w:pPr>
        <w:spacing w:line="240" w:lineRule="auto"/>
        <w:contextualSpacing/>
      </w:pPr>
    </w:p>
    <w:p w:rsidR="00890D56" w:rsidRDefault="00890D56" w:rsidP="00BF78D1">
      <w:pPr>
        <w:spacing w:line="240" w:lineRule="auto"/>
        <w:contextualSpacing/>
      </w:pPr>
    </w:p>
    <w:p w:rsidR="00B617D6" w:rsidRDefault="00B617D6" w:rsidP="00BF78D1">
      <w:pPr>
        <w:spacing w:line="240" w:lineRule="auto"/>
        <w:contextualSpacing/>
      </w:pPr>
    </w:p>
    <w:p w:rsidR="00EF2664" w:rsidRDefault="00EF2664">
      <w:r>
        <w:lastRenderedPageBreak/>
        <w:br w:type="page"/>
      </w:r>
    </w:p>
    <w:p w:rsidR="00CE7BF0" w:rsidRDefault="00774ED5" w:rsidP="00BF78D1">
      <w:pPr>
        <w:spacing w:line="240" w:lineRule="auto"/>
        <w:contextualSpacing/>
      </w:pPr>
      <w:r>
        <w:t xml:space="preserve">Q: </w:t>
      </w:r>
      <w:r w:rsidRPr="00310759">
        <w:rPr>
          <w:b/>
        </w:rPr>
        <w:t>What is the status of the current reports?</w:t>
      </w:r>
    </w:p>
    <w:p w:rsidR="00774ED5" w:rsidRDefault="00774ED5" w:rsidP="00310759">
      <w:r>
        <w:t xml:space="preserve">A: </w:t>
      </w:r>
    </w:p>
    <w:p w:rsidR="00774ED5" w:rsidRPr="00310759" w:rsidRDefault="00774ED5" w:rsidP="00310759">
      <w:r>
        <w:t>(</w:t>
      </w:r>
      <w:proofErr w:type="spellStart"/>
      <w:r>
        <w:t>i</w:t>
      </w:r>
      <w:proofErr w:type="spellEnd"/>
      <w:r>
        <w:t xml:space="preserve">) </w:t>
      </w:r>
      <w:r w:rsidRPr="00310759">
        <w:t>Status of AS570. This report will be maintained for future reporting</w:t>
      </w:r>
    </w:p>
    <w:p w:rsidR="00774ED5" w:rsidRPr="00310759" w:rsidRDefault="00774ED5" w:rsidP="00310759">
      <w:r w:rsidRPr="00310759">
        <w:t>(ii)Status of AS300, AS310, AS400, AS410, AS500, AS510, and AS511</w:t>
      </w:r>
    </w:p>
    <w:p w:rsidR="00774ED5" w:rsidRPr="00310759" w:rsidRDefault="00774ED5" w:rsidP="00310759">
      <w:pPr>
        <w:ind w:left="720"/>
      </w:pPr>
      <w:r w:rsidRPr="00310759">
        <w:t xml:space="preserve">(1) Accounting will produce these AS reports until the old ST Legacy system is decommissioned. The reports will include 100% of the ST money.  </w:t>
      </w:r>
    </w:p>
    <w:p w:rsidR="00774ED5" w:rsidRDefault="00774ED5" w:rsidP="00310759">
      <w:pPr>
        <w:ind w:left="720"/>
      </w:pPr>
      <w:r w:rsidRPr="00310759">
        <w:t xml:space="preserve">(2) Localities should switch to using the five new reports once they are available. The preponderance of the money and financial transactions are in </w:t>
      </w:r>
      <w:proofErr w:type="spellStart"/>
      <w:r w:rsidRPr="00310759">
        <w:t>eMPIRE</w:t>
      </w:r>
      <w:proofErr w:type="spellEnd"/>
      <w:r w:rsidRPr="00310759">
        <w:t xml:space="preserve"> and will be reflected in these new reports. You cannot reconcile transactions between the AS and new </w:t>
      </w:r>
      <w:proofErr w:type="spellStart"/>
      <w:r w:rsidRPr="00310759">
        <w:t>eMPIRE</w:t>
      </w:r>
      <w:proofErr w:type="spellEnd"/>
      <w:r w:rsidRPr="00310759">
        <w:t xml:space="preserve"> reports for the same months.</w:t>
      </w:r>
      <w:r>
        <w:t xml:space="preserve">  </w:t>
      </w:r>
    </w:p>
    <w:p w:rsidR="00CE7BF0" w:rsidRDefault="00CE7BF0" w:rsidP="00BF78D1">
      <w:pPr>
        <w:spacing w:line="240" w:lineRule="auto"/>
        <w:contextualSpacing/>
      </w:pPr>
    </w:p>
    <w:p w:rsidR="00B617D6" w:rsidRPr="00B617D6" w:rsidRDefault="00B617D6" w:rsidP="00BF78D1">
      <w:pPr>
        <w:spacing w:line="240" w:lineRule="auto"/>
        <w:contextualSpacing/>
        <w:rPr>
          <w:b/>
        </w:rPr>
      </w:pPr>
      <w:r>
        <w:t xml:space="preserve">Q: </w:t>
      </w:r>
      <w:r w:rsidRPr="00B617D6">
        <w:rPr>
          <w:b/>
        </w:rPr>
        <w:t>When will the latest month be available?</w:t>
      </w:r>
    </w:p>
    <w:p w:rsidR="00B617D6" w:rsidRDefault="00B617D6" w:rsidP="00BF78D1">
      <w:pPr>
        <w:spacing w:line="240" w:lineRule="auto"/>
        <w:contextualSpacing/>
      </w:pPr>
      <w:r>
        <w:t>A: The reports will generally be available the afternoon of the 12</w:t>
      </w:r>
      <w:r w:rsidRPr="00CB001A">
        <w:rPr>
          <w:vertAlign w:val="superscript"/>
        </w:rPr>
        <w:t>th</w:t>
      </w:r>
      <w:r>
        <w:t xml:space="preserve"> of the month after 2 p.m. or the previous business day if the 12</w:t>
      </w:r>
      <w:r w:rsidRPr="00CB001A">
        <w:rPr>
          <w:vertAlign w:val="superscript"/>
        </w:rPr>
        <w:t>th</w:t>
      </w:r>
      <w:r>
        <w:t xml:space="preserve"> falls on a weekend.  </w:t>
      </w:r>
    </w:p>
    <w:p w:rsidR="00CE7BF0" w:rsidRDefault="00CE7BF0" w:rsidP="00BF78D1">
      <w:pPr>
        <w:spacing w:line="240" w:lineRule="auto"/>
        <w:contextualSpacing/>
      </w:pPr>
    </w:p>
    <w:p w:rsidR="00CE7BF0" w:rsidRDefault="00CE7BF0" w:rsidP="00BF78D1">
      <w:pPr>
        <w:spacing w:line="240" w:lineRule="auto"/>
        <w:contextualSpacing/>
      </w:pPr>
    </w:p>
    <w:p w:rsidR="00B617D6" w:rsidRDefault="00B617D6" w:rsidP="00BF78D1">
      <w:pPr>
        <w:spacing w:line="240" w:lineRule="auto"/>
        <w:contextualSpacing/>
      </w:pPr>
      <w:r>
        <w:t xml:space="preserve">Q: </w:t>
      </w:r>
      <w:r w:rsidRPr="00B617D6">
        <w:rPr>
          <w:b/>
        </w:rPr>
        <w:t>Why don’t the reports tie out to the distribution received?</w:t>
      </w:r>
      <w:r>
        <w:t xml:space="preserve"> </w:t>
      </w:r>
    </w:p>
    <w:p w:rsidR="00B617D6" w:rsidRDefault="00B617D6" w:rsidP="00BF78D1">
      <w:pPr>
        <w:contextualSpacing/>
      </w:pPr>
      <w:r>
        <w:t xml:space="preserve">A: These reports only contain the new ST </w:t>
      </w:r>
      <w:proofErr w:type="spellStart"/>
      <w:r>
        <w:t>eMPIRE</w:t>
      </w:r>
      <w:proofErr w:type="spellEnd"/>
      <w:r>
        <w:t xml:space="preserve"> system transactions. The amount that these reports will differ from your payments should be immaterial. Differences can result from deposits and adjustments occurring in the old Sales Tax legacy processing system and they will continue until that system is decommissioned. In addition, the </w:t>
      </w:r>
      <w:proofErr w:type="spellStart"/>
      <w:r>
        <w:t>eMPIRE</w:t>
      </w:r>
      <w:proofErr w:type="spellEnd"/>
      <w:r>
        <w:t xml:space="preserve"> system for ST operates out to 5 decimal places and these transparency reports are not adjusted to the rounding that is done at the certification stage that generates the payment amounts.  </w:t>
      </w:r>
    </w:p>
    <w:p w:rsidR="00B617D6" w:rsidRDefault="00B617D6" w:rsidP="00BF78D1">
      <w:pPr>
        <w:contextualSpacing/>
      </w:pPr>
    </w:p>
    <w:p w:rsidR="00CE7BF0" w:rsidRDefault="00CE7BF0" w:rsidP="00BF78D1">
      <w:pPr>
        <w:contextualSpacing/>
      </w:pPr>
    </w:p>
    <w:p w:rsidR="003E08B2" w:rsidRDefault="003E08B2" w:rsidP="00BF78D1">
      <w:pPr>
        <w:contextualSpacing/>
      </w:pPr>
      <w:r>
        <w:t xml:space="preserve">Q: </w:t>
      </w:r>
      <w:r>
        <w:rPr>
          <w:b/>
        </w:rPr>
        <w:t>When will new liability quarters be added to the reports?</w:t>
      </w:r>
      <w:r>
        <w:t xml:space="preserve"> </w:t>
      </w:r>
    </w:p>
    <w:p w:rsidR="003E08B2" w:rsidRDefault="003E08B2" w:rsidP="00BF78D1">
      <w:pPr>
        <w:contextualSpacing/>
      </w:pPr>
      <w:r>
        <w:t xml:space="preserve">A: The grid of this report will create four new quarter ending dates and drop the data for the oldest four into ‘Aged’ every year beginning with the April report. </w:t>
      </w:r>
    </w:p>
    <w:p w:rsidR="003E08B2" w:rsidRDefault="003E08B2" w:rsidP="00BF78D1">
      <w:pPr>
        <w:contextualSpacing/>
      </w:pPr>
    </w:p>
    <w:p w:rsidR="003E08B2" w:rsidRDefault="003E08B2" w:rsidP="00BF78D1">
      <w:pPr>
        <w:contextualSpacing/>
        <w:rPr>
          <w:b/>
        </w:rPr>
      </w:pPr>
      <w:r>
        <w:t xml:space="preserve">Q: </w:t>
      </w:r>
      <w:r w:rsidRPr="003E08B2">
        <w:rPr>
          <w:b/>
        </w:rPr>
        <w:t>How can I find the jurisdiction I’m looking for?</w:t>
      </w:r>
    </w:p>
    <w:p w:rsidR="003E08B2" w:rsidRDefault="003E08B2" w:rsidP="00CE7BF0">
      <w:pPr>
        <w:contextualSpacing/>
      </w:pPr>
      <w:r>
        <w:t xml:space="preserve">A: There is an Index provided to easily find your Report Page Tab in four of the five new Excel reports. </w:t>
      </w:r>
    </w:p>
    <w:p w:rsidR="00CE7BF0" w:rsidRDefault="00CE7BF0" w:rsidP="00CE7BF0">
      <w:pPr>
        <w:pStyle w:val="ListParagraph"/>
        <w:ind w:left="0"/>
      </w:pPr>
    </w:p>
    <w:p w:rsidR="00BF78D1" w:rsidRPr="00610FA9" w:rsidRDefault="00BF78D1" w:rsidP="00CE7BF0">
      <w:pPr>
        <w:pStyle w:val="ListParagraph"/>
        <w:ind w:left="0"/>
        <w:rPr>
          <w:b/>
        </w:rPr>
      </w:pPr>
      <w:r>
        <w:t xml:space="preserve">Q: </w:t>
      </w:r>
      <w:r w:rsidRPr="00610FA9">
        <w:rPr>
          <w:b/>
        </w:rPr>
        <w:t>How are monthly ST payments</w:t>
      </w:r>
      <w:r>
        <w:rPr>
          <w:b/>
        </w:rPr>
        <w:t xml:space="preserve"> from businesses</w:t>
      </w:r>
      <w:r w:rsidRPr="00610FA9">
        <w:rPr>
          <w:b/>
        </w:rPr>
        <w:t xml:space="preserve"> distributed</w:t>
      </w:r>
      <w:r>
        <w:rPr>
          <w:b/>
        </w:rPr>
        <w:t xml:space="preserve"> if the return hasn’t been filed yet</w:t>
      </w:r>
      <w:r w:rsidRPr="00610FA9">
        <w:rPr>
          <w:b/>
        </w:rPr>
        <w:t>?</w:t>
      </w:r>
    </w:p>
    <w:p w:rsidR="00BF78D1" w:rsidRDefault="00BF78D1" w:rsidP="00BF78D1">
      <w:pPr>
        <w:pStyle w:val="ListParagraph"/>
        <w:ind w:left="0"/>
      </w:pPr>
      <w:r>
        <w:t>A: Monthly ST payments are prorated to all the jurisdictions using a percentage based on the collections from the prior year.  It is important to note that most of the ST collections are received as monthly payments.</w:t>
      </w:r>
    </w:p>
    <w:p w:rsidR="00CE7BF0" w:rsidRDefault="00CE7BF0" w:rsidP="00BF78D1">
      <w:pPr>
        <w:pStyle w:val="ListParagraph"/>
        <w:ind w:left="0"/>
      </w:pPr>
    </w:p>
    <w:p w:rsidR="00CE7BF0" w:rsidRDefault="00CE7BF0" w:rsidP="00BF78D1">
      <w:pPr>
        <w:pStyle w:val="ListParagraph"/>
        <w:ind w:left="0"/>
      </w:pPr>
    </w:p>
    <w:p w:rsidR="00EF2664" w:rsidRDefault="00EF2664">
      <w:r>
        <w:br w:type="page"/>
      </w:r>
    </w:p>
    <w:p w:rsidR="00BF78D1" w:rsidRDefault="00BF78D1" w:rsidP="00BF78D1">
      <w:pPr>
        <w:pStyle w:val="ListParagraph"/>
        <w:ind w:left="0"/>
      </w:pPr>
      <w:r>
        <w:t xml:space="preserve">Q: </w:t>
      </w:r>
      <w:r w:rsidRPr="00610FA9">
        <w:rPr>
          <w:b/>
        </w:rPr>
        <w:t>How do the prorated monthly payments get properly distributed?</w:t>
      </w:r>
    </w:p>
    <w:p w:rsidR="00BF78D1" w:rsidRDefault="00BF78D1" w:rsidP="00BF78D1">
      <w:pPr>
        <w:pStyle w:val="ListParagraph"/>
        <w:ind w:left="0"/>
      </w:pPr>
      <w:r>
        <w:t xml:space="preserve">A:  When returns are received in the peak month (March, June, September, and December) the monthly payments for each business is </w:t>
      </w:r>
      <w:proofErr w:type="spellStart"/>
      <w:r>
        <w:t>unprorated</w:t>
      </w:r>
      <w:proofErr w:type="spellEnd"/>
      <w:r>
        <w:t xml:space="preserve"> and distributed per the return.  This </w:t>
      </w:r>
      <w:proofErr w:type="spellStart"/>
      <w:r>
        <w:t>unproration</w:t>
      </w:r>
      <w:proofErr w:type="spellEnd"/>
      <w:r>
        <w:t xml:space="preserve"> and distribution is included in the ‘Distribution Adjustments’ column of the report. </w:t>
      </w:r>
    </w:p>
    <w:p w:rsidR="00BF78D1" w:rsidRDefault="00BF78D1" w:rsidP="00BF78D1">
      <w:pPr>
        <w:pStyle w:val="ListParagraph"/>
        <w:ind w:left="0"/>
      </w:pPr>
    </w:p>
    <w:p w:rsidR="00BF78D1" w:rsidRDefault="00BF78D1" w:rsidP="00BF78D1">
      <w:pPr>
        <w:pStyle w:val="ListParagraph"/>
        <w:ind w:left="0"/>
      </w:pPr>
      <w:r>
        <w:t>The chart below shows the liability periods and when these adjustments will occur for timely filed returns:</w:t>
      </w:r>
    </w:p>
    <w:tbl>
      <w:tblPr>
        <w:tblStyle w:val="TableGrid"/>
        <w:tblW w:w="0" w:type="auto"/>
        <w:tblLook w:val="04A0" w:firstRow="1" w:lastRow="0" w:firstColumn="1" w:lastColumn="0" w:noHBand="0" w:noVBand="1"/>
      </w:tblPr>
      <w:tblGrid>
        <w:gridCol w:w="2367"/>
        <w:gridCol w:w="2367"/>
        <w:gridCol w:w="2367"/>
        <w:gridCol w:w="2367"/>
      </w:tblGrid>
      <w:tr w:rsidR="00BF78D1" w:rsidTr="00BF78D1">
        <w:tc>
          <w:tcPr>
            <w:tcW w:w="2367" w:type="dxa"/>
          </w:tcPr>
          <w:p w:rsidR="00BF78D1" w:rsidRDefault="00BF78D1" w:rsidP="00BF78D1">
            <w:pPr>
              <w:jc w:val="center"/>
            </w:pPr>
            <w:r>
              <w:t xml:space="preserve">Month in Report Column: </w:t>
            </w:r>
            <w:r w:rsidRPr="009543C5">
              <w:t xml:space="preserve">Sales Liability </w:t>
            </w:r>
            <w:proofErr w:type="spellStart"/>
            <w:r w:rsidRPr="009543C5">
              <w:t>Qtr</w:t>
            </w:r>
            <w:proofErr w:type="spellEnd"/>
            <w:r w:rsidRPr="009543C5">
              <w:t xml:space="preserve"> Ending</w:t>
            </w:r>
            <w:r>
              <w:t xml:space="preserve"> </w:t>
            </w:r>
          </w:p>
        </w:tc>
        <w:tc>
          <w:tcPr>
            <w:tcW w:w="2367" w:type="dxa"/>
          </w:tcPr>
          <w:p w:rsidR="00BF78D1" w:rsidRDefault="00BF78D1" w:rsidP="00BF78D1">
            <w:pPr>
              <w:jc w:val="center"/>
            </w:pPr>
            <w:r>
              <w:t>Sales Tax Liability Months Included in the Quarter</w:t>
            </w:r>
          </w:p>
        </w:tc>
        <w:tc>
          <w:tcPr>
            <w:tcW w:w="2367" w:type="dxa"/>
          </w:tcPr>
          <w:p w:rsidR="00BF78D1" w:rsidRDefault="00BF78D1" w:rsidP="00BF78D1">
            <w:pPr>
              <w:jc w:val="center"/>
            </w:pPr>
            <w:r>
              <w:t>Report Month in which Payments are Received from Businesses.</w:t>
            </w:r>
          </w:p>
        </w:tc>
        <w:tc>
          <w:tcPr>
            <w:tcW w:w="2367" w:type="dxa"/>
          </w:tcPr>
          <w:p w:rsidR="00BF78D1" w:rsidRDefault="00BF78D1" w:rsidP="00BF78D1">
            <w:pPr>
              <w:jc w:val="center"/>
            </w:pPr>
            <w:r>
              <w:t>The quarterly return is due the 20</w:t>
            </w:r>
            <w:r w:rsidRPr="009E4884">
              <w:rPr>
                <w:vertAlign w:val="superscript"/>
              </w:rPr>
              <w:t>th</w:t>
            </w:r>
            <w:r>
              <w:t xml:space="preserve"> of :</w:t>
            </w:r>
          </w:p>
        </w:tc>
      </w:tr>
      <w:tr w:rsidR="00BF78D1" w:rsidTr="00BF78D1">
        <w:tc>
          <w:tcPr>
            <w:tcW w:w="2367" w:type="dxa"/>
          </w:tcPr>
          <w:p w:rsidR="00BF78D1" w:rsidRDefault="00BF78D1" w:rsidP="00BF78D1">
            <w:pPr>
              <w:jc w:val="center"/>
            </w:pPr>
            <w:r>
              <w:t>February</w:t>
            </w:r>
          </w:p>
        </w:tc>
        <w:tc>
          <w:tcPr>
            <w:tcW w:w="2367" w:type="dxa"/>
          </w:tcPr>
          <w:p w:rsidR="00BF78D1" w:rsidRDefault="00BF78D1" w:rsidP="00BF78D1">
            <w:pPr>
              <w:jc w:val="center"/>
            </w:pPr>
            <w:r>
              <w:t>December</w:t>
            </w:r>
          </w:p>
          <w:p w:rsidR="00BF78D1" w:rsidRDefault="00BF78D1" w:rsidP="00BF78D1">
            <w:pPr>
              <w:jc w:val="center"/>
            </w:pPr>
            <w:r>
              <w:t>January</w:t>
            </w:r>
          </w:p>
          <w:p w:rsidR="00BF78D1" w:rsidRDefault="00BF78D1" w:rsidP="00BF78D1">
            <w:pPr>
              <w:jc w:val="center"/>
            </w:pPr>
            <w:r>
              <w:t>February</w:t>
            </w:r>
          </w:p>
        </w:tc>
        <w:tc>
          <w:tcPr>
            <w:tcW w:w="2367" w:type="dxa"/>
          </w:tcPr>
          <w:p w:rsidR="00BF78D1" w:rsidRDefault="00BF78D1" w:rsidP="00BF78D1">
            <w:pPr>
              <w:jc w:val="center"/>
            </w:pPr>
            <w:r>
              <w:t>December</w:t>
            </w:r>
          </w:p>
          <w:p w:rsidR="00BF78D1" w:rsidRDefault="00BF78D1" w:rsidP="00BF78D1">
            <w:pPr>
              <w:jc w:val="center"/>
            </w:pPr>
            <w:r>
              <w:t>January</w:t>
            </w:r>
          </w:p>
          <w:p w:rsidR="00BF78D1" w:rsidRDefault="00BF78D1" w:rsidP="00BF78D1">
            <w:pPr>
              <w:jc w:val="center"/>
            </w:pPr>
            <w:r>
              <w:t>February</w:t>
            </w:r>
          </w:p>
          <w:p w:rsidR="00BF78D1" w:rsidRDefault="00BF78D1" w:rsidP="00BF78D1">
            <w:pPr>
              <w:jc w:val="center"/>
            </w:pPr>
            <w:r>
              <w:t>March</w:t>
            </w:r>
          </w:p>
        </w:tc>
        <w:tc>
          <w:tcPr>
            <w:tcW w:w="2367" w:type="dxa"/>
          </w:tcPr>
          <w:p w:rsidR="00BF78D1" w:rsidRDefault="00BF78D1" w:rsidP="00BF78D1">
            <w:pPr>
              <w:jc w:val="center"/>
            </w:pPr>
            <w:r>
              <w:t>March</w:t>
            </w:r>
          </w:p>
        </w:tc>
      </w:tr>
      <w:tr w:rsidR="00BF78D1" w:rsidTr="00BF78D1">
        <w:tc>
          <w:tcPr>
            <w:tcW w:w="2367" w:type="dxa"/>
          </w:tcPr>
          <w:p w:rsidR="00BF78D1" w:rsidRDefault="00BF78D1" w:rsidP="00BF78D1">
            <w:pPr>
              <w:jc w:val="center"/>
            </w:pPr>
            <w:r>
              <w:t>May</w:t>
            </w:r>
          </w:p>
        </w:tc>
        <w:tc>
          <w:tcPr>
            <w:tcW w:w="2367" w:type="dxa"/>
          </w:tcPr>
          <w:p w:rsidR="00BF78D1" w:rsidRDefault="00BF78D1" w:rsidP="00BF78D1">
            <w:pPr>
              <w:jc w:val="center"/>
            </w:pPr>
            <w:r>
              <w:t>March</w:t>
            </w:r>
          </w:p>
          <w:p w:rsidR="00BF78D1" w:rsidRDefault="00BF78D1" w:rsidP="00BF78D1">
            <w:pPr>
              <w:jc w:val="center"/>
            </w:pPr>
            <w:r>
              <w:t>April</w:t>
            </w:r>
          </w:p>
          <w:p w:rsidR="00BF78D1" w:rsidRDefault="00BF78D1" w:rsidP="00BF78D1">
            <w:pPr>
              <w:jc w:val="center"/>
            </w:pPr>
            <w:r w:rsidRPr="009543C5">
              <w:t>May</w:t>
            </w:r>
          </w:p>
        </w:tc>
        <w:tc>
          <w:tcPr>
            <w:tcW w:w="2367" w:type="dxa"/>
          </w:tcPr>
          <w:p w:rsidR="00BF78D1" w:rsidRDefault="00BF78D1" w:rsidP="00BF78D1">
            <w:pPr>
              <w:jc w:val="center"/>
            </w:pPr>
            <w:r>
              <w:t>March</w:t>
            </w:r>
          </w:p>
          <w:p w:rsidR="00BF78D1" w:rsidRDefault="00BF78D1" w:rsidP="00BF78D1">
            <w:pPr>
              <w:jc w:val="center"/>
            </w:pPr>
            <w:r>
              <w:t>April</w:t>
            </w:r>
          </w:p>
          <w:p w:rsidR="00BF78D1" w:rsidRDefault="00BF78D1" w:rsidP="00BF78D1">
            <w:pPr>
              <w:jc w:val="center"/>
            </w:pPr>
            <w:r w:rsidRPr="009543C5">
              <w:t>May</w:t>
            </w:r>
          </w:p>
          <w:p w:rsidR="00BF78D1" w:rsidRDefault="00BF78D1" w:rsidP="00BF78D1">
            <w:pPr>
              <w:jc w:val="center"/>
            </w:pPr>
            <w:r>
              <w:t>June</w:t>
            </w:r>
          </w:p>
        </w:tc>
        <w:tc>
          <w:tcPr>
            <w:tcW w:w="2367" w:type="dxa"/>
          </w:tcPr>
          <w:p w:rsidR="00BF78D1" w:rsidRDefault="00BF78D1" w:rsidP="00BF78D1">
            <w:pPr>
              <w:jc w:val="center"/>
            </w:pPr>
            <w:r>
              <w:t>June</w:t>
            </w:r>
          </w:p>
        </w:tc>
      </w:tr>
      <w:tr w:rsidR="00BF78D1" w:rsidTr="00BF78D1">
        <w:tc>
          <w:tcPr>
            <w:tcW w:w="2367" w:type="dxa"/>
          </w:tcPr>
          <w:p w:rsidR="00BF78D1" w:rsidRDefault="00BF78D1" w:rsidP="00BF78D1">
            <w:pPr>
              <w:jc w:val="center"/>
            </w:pPr>
            <w:r>
              <w:t>August</w:t>
            </w:r>
          </w:p>
        </w:tc>
        <w:tc>
          <w:tcPr>
            <w:tcW w:w="2367" w:type="dxa"/>
          </w:tcPr>
          <w:p w:rsidR="00BF78D1" w:rsidRDefault="00BF78D1" w:rsidP="00BF78D1">
            <w:pPr>
              <w:jc w:val="center"/>
            </w:pPr>
            <w:r>
              <w:t>June</w:t>
            </w:r>
          </w:p>
          <w:p w:rsidR="00BF78D1" w:rsidRDefault="00BF78D1" w:rsidP="00BF78D1">
            <w:pPr>
              <w:jc w:val="center"/>
            </w:pPr>
            <w:r>
              <w:t>July</w:t>
            </w:r>
          </w:p>
          <w:p w:rsidR="00BF78D1" w:rsidRDefault="00BF78D1" w:rsidP="00BF78D1">
            <w:pPr>
              <w:jc w:val="center"/>
            </w:pPr>
            <w:r w:rsidRPr="009543C5">
              <w:t>Aug</w:t>
            </w:r>
            <w:r>
              <w:t>ust</w:t>
            </w:r>
          </w:p>
        </w:tc>
        <w:tc>
          <w:tcPr>
            <w:tcW w:w="2367" w:type="dxa"/>
          </w:tcPr>
          <w:p w:rsidR="00BF78D1" w:rsidRDefault="00BF78D1" w:rsidP="00BF78D1">
            <w:pPr>
              <w:jc w:val="center"/>
            </w:pPr>
            <w:r>
              <w:t>June</w:t>
            </w:r>
          </w:p>
          <w:p w:rsidR="00BF78D1" w:rsidRDefault="00BF78D1" w:rsidP="00BF78D1">
            <w:pPr>
              <w:jc w:val="center"/>
            </w:pPr>
            <w:r>
              <w:t>July</w:t>
            </w:r>
          </w:p>
          <w:p w:rsidR="00BF78D1" w:rsidRDefault="00BF78D1" w:rsidP="00BF78D1">
            <w:pPr>
              <w:jc w:val="center"/>
            </w:pPr>
            <w:r w:rsidRPr="009543C5">
              <w:t>Aug</w:t>
            </w:r>
            <w:r>
              <w:t>ust</w:t>
            </w:r>
          </w:p>
          <w:p w:rsidR="00BF78D1" w:rsidRDefault="00BF78D1" w:rsidP="00BF78D1">
            <w:pPr>
              <w:jc w:val="center"/>
            </w:pPr>
            <w:r>
              <w:t>September</w:t>
            </w:r>
          </w:p>
        </w:tc>
        <w:tc>
          <w:tcPr>
            <w:tcW w:w="2367" w:type="dxa"/>
          </w:tcPr>
          <w:p w:rsidR="00BF78D1" w:rsidRDefault="00BF78D1" w:rsidP="00BF78D1">
            <w:pPr>
              <w:jc w:val="center"/>
            </w:pPr>
            <w:r>
              <w:t>September</w:t>
            </w:r>
          </w:p>
        </w:tc>
      </w:tr>
      <w:tr w:rsidR="00BF78D1" w:rsidTr="00BF78D1">
        <w:tc>
          <w:tcPr>
            <w:tcW w:w="2367" w:type="dxa"/>
          </w:tcPr>
          <w:p w:rsidR="00BF78D1" w:rsidRDefault="00BF78D1" w:rsidP="00BF78D1">
            <w:pPr>
              <w:jc w:val="center"/>
            </w:pPr>
            <w:r>
              <w:t>November</w:t>
            </w:r>
          </w:p>
        </w:tc>
        <w:tc>
          <w:tcPr>
            <w:tcW w:w="2367" w:type="dxa"/>
          </w:tcPr>
          <w:p w:rsidR="00BF78D1" w:rsidRDefault="00BF78D1" w:rsidP="00BF78D1">
            <w:pPr>
              <w:jc w:val="center"/>
            </w:pPr>
            <w:r>
              <w:t>September</w:t>
            </w:r>
          </w:p>
          <w:p w:rsidR="00BF78D1" w:rsidRDefault="00BF78D1" w:rsidP="00BF78D1">
            <w:pPr>
              <w:jc w:val="center"/>
            </w:pPr>
            <w:r>
              <w:t>October</w:t>
            </w:r>
          </w:p>
          <w:p w:rsidR="00BF78D1" w:rsidRDefault="00BF78D1" w:rsidP="00BF78D1">
            <w:pPr>
              <w:jc w:val="center"/>
            </w:pPr>
            <w:r w:rsidRPr="009543C5">
              <w:t>Nov</w:t>
            </w:r>
            <w:r>
              <w:t>ember</w:t>
            </w:r>
          </w:p>
        </w:tc>
        <w:tc>
          <w:tcPr>
            <w:tcW w:w="2367" w:type="dxa"/>
          </w:tcPr>
          <w:p w:rsidR="00BF78D1" w:rsidRDefault="00BF78D1" w:rsidP="00BF78D1">
            <w:pPr>
              <w:jc w:val="center"/>
            </w:pPr>
            <w:r>
              <w:t>September</w:t>
            </w:r>
          </w:p>
          <w:p w:rsidR="00BF78D1" w:rsidRDefault="00BF78D1" w:rsidP="00BF78D1">
            <w:pPr>
              <w:jc w:val="center"/>
            </w:pPr>
            <w:r>
              <w:t>October</w:t>
            </w:r>
          </w:p>
          <w:p w:rsidR="00BF78D1" w:rsidRDefault="00BF78D1" w:rsidP="00BF78D1">
            <w:pPr>
              <w:jc w:val="center"/>
            </w:pPr>
            <w:r w:rsidRPr="009543C5">
              <w:t>Nov</w:t>
            </w:r>
            <w:r>
              <w:t>ember</w:t>
            </w:r>
          </w:p>
          <w:p w:rsidR="00BF78D1" w:rsidRDefault="00BF78D1" w:rsidP="00BF78D1">
            <w:pPr>
              <w:jc w:val="center"/>
            </w:pPr>
            <w:r>
              <w:t>December</w:t>
            </w:r>
          </w:p>
        </w:tc>
        <w:tc>
          <w:tcPr>
            <w:tcW w:w="2367" w:type="dxa"/>
          </w:tcPr>
          <w:p w:rsidR="00BF78D1" w:rsidRDefault="00BF78D1" w:rsidP="00BF78D1">
            <w:pPr>
              <w:jc w:val="center"/>
            </w:pPr>
            <w:r>
              <w:t>December</w:t>
            </w:r>
          </w:p>
        </w:tc>
      </w:tr>
      <w:tr w:rsidR="00BF78D1" w:rsidTr="00BF78D1">
        <w:trPr>
          <w:trHeight w:val="1898"/>
        </w:trPr>
        <w:tc>
          <w:tcPr>
            <w:tcW w:w="2367" w:type="dxa"/>
          </w:tcPr>
          <w:p w:rsidR="00BF78D1" w:rsidRPr="00877223" w:rsidRDefault="00BF78D1" w:rsidP="00BF78D1">
            <w:pPr>
              <w:jc w:val="center"/>
              <w:rPr>
                <w:i/>
                <w:sz w:val="20"/>
                <w:szCs w:val="20"/>
                <w:highlight w:val="lightGray"/>
              </w:rPr>
            </w:pPr>
          </w:p>
        </w:tc>
        <w:tc>
          <w:tcPr>
            <w:tcW w:w="2367" w:type="dxa"/>
          </w:tcPr>
          <w:p w:rsidR="00BF78D1" w:rsidRPr="00BC58B9" w:rsidRDefault="00BF78D1" w:rsidP="00BF78D1">
            <w:pPr>
              <w:jc w:val="center"/>
              <w:rPr>
                <w:i/>
                <w:sz w:val="20"/>
                <w:szCs w:val="20"/>
              </w:rPr>
            </w:pPr>
          </w:p>
        </w:tc>
        <w:tc>
          <w:tcPr>
            <w:tcW w:w="2367" w:type="dxa"/>
          </w:tcPr>
          <w:p w:rsidR="00BF78D1" w:rsidRPr="00B45806" w:rsidRDefault="00BF78D1" w:rsidP="00BF78D1">
            <w:pPr>
              <w:jc w:val="center"/>
              <w:rPr>
                <w:b/>
                <w:i/>
                <w:sz w:val="20"/>
                <w:szCs w:val="20"/>
              </w:rPr>
            </w:pPr>
            <w:r w:rsidRPr="00B45806">
              <w:rPr>
                <w:b/>
                <w:i/>
                <w:sz w:val="20"/>
                <w:szCs w:val="20"/>
              </w:rPr>
              <w:t>Funds received in the first three of the four months are prorated</w:t>
            </w:r>
            <w:r>
              <w:rPr>
                <w:b/>
                <w:i/>
                <w:sz w:val="20"/>
                <w:szCs w:val="20"/>
              </w:rPr>
              <w:t xml:space="preserve"> to the jurisdictions</w:t>
            </w:r>
            <w:r w:rsidRPr="00B45806">
              <w:rPr>
                <w:b/>
                <w:i/>
                <w:sz w:val="20"/>
                <w:szCs w:val="20"/>
              </w:rPr>
              <w:t>.</w:t>
            </w:r>
          </w:p>
          <w:p w:rsidR="00BF78D1" w:rsidRPr="00B45806" w:rsidRDefault="00BF78D1" w:rsidP="00BF78D1">
            <w:pPr>
              <w:jc w:val="center"/>
              <w:rPr>
                <w:b/>
                <w:i/>
                <w:sz w:val="20"/>
                <w:szCs w:val="20"/>
                <w:highlight w:val="yellow"/>
              </w:rPr>
            </w:pPr>
          </w:p>
          <w:p w:rsidR="00BF78D1" w:rsidRPr="00BC58B9" w:rsidRDefault="00BF78D1" w:rsidP="00BF78D1">
            <w:pPr>
              <w:jc w:val="center"/>
              <w:rPr>
                <w:i/>
                <w:sz w:val="20"/>
                <w:szCs w:val="20"/>
                <w:highlight w:val="yellow"/>
              </w:rPr>
            </w:pPr>
            <w:r w:rsidRPr="00B45806">
              <w:rPr>
                <w:b/>
                <w:i/>
                <w:sz w:val="20"/>
                <w:szCs w:val="20"/>
              </w:rPr>
              <w:t>OSC pays the jurisdiction</w:t>
            </w:r>
            <w:r>
              <w:rPr>
                <w:b/>
                <w:i/>
                <w:sz w:val="20"/>
                <w:szCs w:val="20"/>
              </w:rPr>
              <w:t>s</w:t>
            </w:r>
            <w:r w:rsidRPr="00B45806">
              <w:rPr>
                <w:b/>
                <w:i/>
                <w:sz w:val="20"/>
                <w:szCs w:val="20"/>
              </w:rPr>
              <w:t xml:space="preserve"> in the subsequent month,( i.e. March money in April)</w:t>
            </w:r>
          </w:p>
        </w:tc>
        <w:tc>
          <w:tcPr>
            <w:tcW w:w="2367" w:type="dxa"/>
          </w:tcPr>
          <w:p w:rsidR="00BF78D1" w:rsidRPr="00877223" w:rsidRDefault="00BF78D1" w:rsidP="00BB22B3">
            <w:pPr>
              <w:jc w:val="center"/>
              <w:rPr>
                <w:b/>
                <w:i/>
                <w:sz w:val="20"/>
                <w:szCs w:val="20"/>
              </w:rPr>
            </w:pPr>
            <w:r w:rsidRPr="00877223">
              <w:rPr>
                <w:b/>
                <w:i/>
                <w:sz w:val="20"/>
                <w:szCs w:val="20"/>
              </w:rPr>
              <w:t>This is the month that the prorated money will un-prorated &amp; distributed by the return.</w:t>
            </w:r>
            <w:r>
              <w:rPr>
                <w:b/>
                <w:i/>
                <w:sz w:val="20"/>
                <w:szCs w:val="20"/>
              </w:rPr>
              <w:t xml:space="preserve"> </w:t>
            </w:r>
            <w:r w:rsidR="00E1187E">
              <w:rPr>
                <w:b/>
                <w:i/>
                <w:sz w:val="20"/>
                <w:szCs w:val="20"/>
              </w:rPr>
              <w:t xml:space="preserve">Backing out any other adjustments for the month, the last payment for the month </w:t>
            </w:r>
            <w:proofErr w:type="gramStart"/>
            <w:r>
              <w:rPr>
                <w:b/>
                <w:i/>
                <w:sz w:val="20"/>
                <w:szCs w:val="20"/>
              </w:rPr>
              <w:t xml:space="preserve">will </w:t>
            </w:r>
            <w:r w:rsidR="00E1187E">
              <w:rPr>
                <w:b/>
                <w:i/>
                <w:sz w:val="20"/>
                <w:szCs w:val="20"/>
              </w:rPr>
              <w:t xml:space="preserve"> be</w:t>
            </w:r>
            <w:proofErr w:type="gramEnd"/>
            <w:r w:rsidR="00E1187E">
              <w:rPr>
                <w:b/>
                <w:i/>
                <w:sz w:val="20"/>
                <w:szCs w:val="20"/>
              </w:rPr>
              <w:t xml:space="preserve"> greater</w:t>
            </w:r>
            <w:r>
              <w:rPr>
                <w:b/>
                <w:i/>
                <w:sz w:val="20"/>
                <w:szCs w:val="20"/>
              </w:rPr>
              <w:t xml:space="preserve"> if the prepayments from the earlier months were under-distributed </w:t>
            </w:r>
            <w:r w:rsidR="00E1187E">
              <w:rPr>
                <w:b/>
                <w:i/>
                <w:sz w:val="20"/>
                <w:szCs w:val="20"/>
              </w:rPr>
              <w:t xml:space="preserve">or </w:t>
            </w:r>
            <w:r w:rsidR="00BB22B3">
              <w:rPr>
                <w:b/>
                <w:i/>
                <w:sz w:val="20"/>
                <w:szCs w:val="20"/>
              </w:rPr>
              <w:t>less</w:t>
            </w:r>
            <w:r>
              <w:rPr>
                <w:b/>
                <w:i/>
                <w:sz w:val="20"/>
                <w:szCs w:val="20"/>
              </w:rPr>
              <w:t xml:space="preserve"> if they were over-distributed.</w:t>
            </w:r>
          </w:p>
        </w:tc>
      </w:tr>
    </w:tbl>
    <w:p w:rsidR="00EF2664" w:rsidRDefault="00EF2664" w:rsidP="00CE7BF0"/>
    <w:p w:rsidR="00EF2664" w:rsidRDefault="00EF2664">
      <w:r>
        <w:br w:type="page"/>
      </w:r>
    </w:p>
    <w:p w:rsidR="00EF2664" w:rsidRDefault="00EF2664" w:rsidP="00EF2664">
      <w:pPr>
        <w:pStyle w:val="NoSpacing"/>
      </w:pPr>
      <w:r w:rsidRPr="00EF2664">
        <w:t xml:space="preserve">Q: </w:t>
      </w:r>
      <w:r w:rsidRPr="00EF2664">
        <w:rPr>
          <w:b/>
        </w:rPr>
        <w:t>When do I receive my ST Distribution payments, what accounting/report month are they for and what is in the payment?</w:t>
      </w:r>
      <w:r w:rsidRPr="00EF2664">
        <w:t xml:space="preserve"> </w:t>
      </w:r>
    </w:p>
    <w:p w:rsidR="00EF2664" w:rsidRPr="00EF2664" w:rsidRDefault="00EF2664" w:rsidP="00EF2664">
      <w:pPr>
        <w:pStyle w:val="NoSpacing"/>
      </w:pPr>
      <w:r w:rsidRPr="00EF2664">
        <w:t>A:</w:t>
      </w:r>
    </w:p>
    <w:tbl>
      <w:tblPr>
        <w:tblStyle w:val="TableGrid"/>
        <w:tblW w:w="0" w:type="auto"/>
        <w:tblLook w:val="04A0" w:firstRow="1" w:lastRow="0" w:firstColumn="1" w:lastColumn="0" w:noHBand="0" w:noVBand="1"/>
      </w:tblPr>
      <w:tblGrid>
        <w:gridCol w:w="10874"/>
      </w:tblGrid>
      <w:tr w:rsidR="00EF2664" w:rsidRPr="00EF2664" w:rsidTr="00EF2664">
        <w:tc>
          <w:tcPr>
            <w:tcW w:w="10874" w:type="dxa"/>
          </w:tcPr>
          <w:tbl>
            <w:tblPr>
              <w:tblW w:w="10648" w:type="dxa"/>
              <w:tblLook w:val="04A0" w:firstRow="1" w:lastRow="0" w:firstColumn="1" w:lastColumn="0" w:noHBand="0" w:noVBand="1"/>
            </w:tblPr>
            <w:tblGrid>
              <w:gridCol w:w="2245"/>
              <w:gridCol w:w="2430"/>
              <w:gridCol w:w="2070"/>
              <w:gridCol w:w="1350"/>
              <w:gridCol w:w="1350"/>
              <w:gridCol w:w="1203"/>
            </w:tblGrid>
            <w:tr w:rsidR="00EF2664" w:rsidRPr="00EF2664" w:rsidTr="00EF2664">
              <w:trPr>
                <w:trHeight w:val="315"/>
              </w:trPr>
              <w:tc>
                <w:tcPr>
                  <w:tcW w:w="224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EF2664" w:rsidRPr="00EF2664" w:rsidRDefault="00EF2664" w:rsidP="00EF2664">
                  <w:pPr>
                    <w:spacing w:after="0" w:line="240" w:lineRule="auto"/>
                    <w:jc w:val="center"/>
                    <w:rPr>
                      <w:rFonts w:eastAsia="Times New Roman" w:cs="Arial"/>
                      <w:b/>
                      <w:bCs/>
                      <w:u w:val="single"/>
                    </w:rPr>
                  </w:pPr>
                  <w:r w:rsidRPr="00EF2664">
                    <w:rPr>
                      <w:rFonts w:eastAsia="Times New Roman" w:cs="Arial"/>
                      <w:b/>
                      <w:bCs/>
                      <w:u w:val="single"/>
                    </w:rPr>
                    <w:t>Advice Date</w:t>
                  </w:r>
                </w:p>
              </w:tc>
              <w:tc>
                <w:tcPr>
                  <w:tcW w:w="2430" w:type="dxa"/>
                  <w:tcBorders>
                    <w:top w:val="single" w:sz="4" w:space="0" w:color="auto"/>
                    <w:left w:val="nil"/>
                    <w:bottom w:val="single" w:sz="4" w:space="0" w:color="auto"/>
                    <w:right w:val="single" w:sz="4" w:space="0" w:color="auto"/>
                  </w:tcBorders>
                  <w:shd w:val="clear" w:color="FFFFFF" w:fill="FFFFFF"/>
                  <w:noWrap/>
                  <w:vAlign w:val="bottom"/>
                  <w:hideMark/>
                </w:tcPr>
                <w:p w:rsidR="00EF2664" w:rsidRPr="00EF2664" w:rsidRDefault="00EF2664" w:rsidP="00EF2664">
                  <w:pPr>
                    <w:spacing w:after="0" w:line="240" w:lineRule="auto"/>
                    <w:jc w:val="center"/>
                    <w:rPr>
                      <w:rFonts w:eastAsia="Times New Roman" w:cs="Arial"/>
                      <w:b/>
                      <w:bCs/>
                      <w:u w:val="single"/>
                    </w:rPr>
                  </w:pPr>
                  <w:r w:rsidRPr="00EF2664">
                    <w:rPr>
                      <w:rFonts w:eastAsia="Times New Roman" w:cs="Arial"/>
                      <w:b/>
                      <w:bCs/>
                      <w:u w:val="single"/>
                    </w:rPr>
                    <w:t>Receipt Date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b/>
                      <w:bCs/>
                      <w:u w:val="single"/>
                    </w:rPr>
                  </w:pPr>
                  <w:r w:rsidRPr="00EF2664">
                    <w:rPr>
                      <w:rFonts w:eastAsia="Times New Roman" w:cs="Arial"/>
                      <w:b/>
                      <w:bCs/>
                      <w:u w:val="single"/>
                    </w:rPr>
                    <w:t>Accounting Month(1)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b/>
                      <w:bCs/>
                      <w:u w:val="single"/>
                    </w:rPr>
                  </w:pPr>
                  <w:r w:rsidRPr="00EF2664">
                    <w:rPr>
                      <w:rFonts w:eastAsia="Times New Roman" w:cs="Arial"/>
                      <w:b/>
                      <w:bCs/>
                      <w:u w:val="single"/>
                    </w:rPr>
                    <w:t>Early Draw</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b/>
                      <w:bCs/>
                      <w:u w:val="single"/>
                    </w:rPr>
                    <w:t>Final Draw</w:t>
                  </w:r>
                </w:p>
              </w:tc>
              <w:tc>
                <w:tcPr>
                  <w:tcW w:w="1203" w:type="dxa"/>
                  <w:tcBorders>
                    <w:top w:val="single" w:sz="4" w:space="0" w:color="auto"/>
                    <w:left w:val="nil"/>
                    <w:bottom w:val="single" w:sz="4" w:space="0" w:color="auto"/>
                    <w:right w:val="single" w:sz="4" w:space="0" w:color="auto"/>
                  </w:tcBorders>
                  <w:shd w:val="clear" w:color="FFFFFF" w:fill="FFFFFF"/>
                  <w:noWrap/>
                  <w:vAlign w:val="bottom"/>
                  <w:hideMark/>
                </w:tcPr>
                <w:p w:rsidR="00EF2664" w:rsidRPr="00EF2664" w:rsidRDefault="00EF2664" w:rsidP="00EF2664">
                  <w:pPr>
                    <w:spacing w:after="0" w:line="240" w:lineRule="auto"/>
                    <w:jc w:val="center"/>
                    <w:rPr>
                      <w:rFonts w:eastAsia="Times New Roman" w:cs="Arial"/>
                      <w:b/>
                      <w:bCs/>
                      <w:u w:val="single"/>
                    </w:rPr>
                  </w:pPr>
                  <w:r w:rsidRPr="00EF2664">
                    <w:rPr>
                      <w:rFonts w:eastAsia="Times New Roman" w:cs="Arial"/>
                      <w:b/>
                      <w:bCs/>
                      <w:u w:val="single"/>
                    </w:rPr>
                    <w:t>Included items *</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January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January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2015</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February 4,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February 5,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January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February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February 16,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January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March 4,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March 7,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February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March 11,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March 14,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February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April 6,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April 7,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March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April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April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March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May 5,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May 6,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April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A</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May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May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April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6,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7,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A</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10,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May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000000" w:fill="B1A0C7"/>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29,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30,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C</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000000" w:fill="B1A0C7"/>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30,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July 1,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D</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000000" w:fill="B1A0C7"/>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July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July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June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August 4,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August 5,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July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A</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August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August 15,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July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September 6,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September 7,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August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A</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September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September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August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October 5,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October 6,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September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A</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October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October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September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November 4,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November 7,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October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A</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November 10,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November 14,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October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5,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6,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November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A</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12,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13,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November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000000" w:fill="B1A0C7"/>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29,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30, 2016</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C</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000000" w:fill="B1A0C7"/>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30, 2016</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January 3, 2017</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D</w:t>
                  </w:r>
                </w:p>
              </w:tc>
            </w:tr>
            <w:tr w:rsidR="00EF2664" w:rsidRPr="00EF2664" w:rsidTr="00EF2664">
              <w:trPr>
                <w:trHeight w:val="300"/>
              </w:trPr>
              <w:tc>
                <w:tcPr>
                  <w:tcW w:w="2245" w:type="dxa"/>
                  <w:tcBorders>
                    <w:top w:val="nil"/>
                    <w:left w:val="single" w:sz="4" w:space="0" w:color="auto"/>
                    <w:bottom w:val="single" w:sz="4" w:space="0" w:color="auto"/>
                    <w:right w:val="single" w:sz="4" w:space="0" w:color="auto"/>
                  </w:tcBorders>
                  <w:shd w:val="clear" w:color="000000" w:fill="B1A0C7"/>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January 12, 2017</w:t>
                  </w:r>
                </w:p>
              </w:tc>
              <w:tc>
                <w:tcPr>
                  <w:tcW w:w="243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January 13,2017</w:t>
                  </w:r>
                </w:p>
              </w:tc>
              <w:tc>
                <w:tcPr>
                  <w:tcW w:w="207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rPr>
                      <w:rFonts w:eastAsia="Times New Roman" w:cs="Arial"/>
                    </w:rPr>
                  </w:pPr>
                  <w:r w:rsidRPr="00EF2664">
                    <w:rPr>
                      <w:rFonts w:eastAsia="Times New Roman" w:cs="Arial"/>
                    </w:rPr>
                    <w:t>December 2016</w:t>
                  </w: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p>
              </w:tc>
              <w:tc>
                <w:tcPr>
                  <w:tcW w:w="1350"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X</w:t>
                  </w:r>
                </w:p>
              </w:tc>
              <w:tc>
                <w:tcPr>
                  <w:tcW w:w="1203" w:type="dxa"/>
                  <w:tcBorders>
                    <w:top w:val="nil"/>
                    <w:left w:val="nil"/>
                    <w:bottom w:val="single" w:sz="4" w:space="0" w:color="auto"/>
                    <w:right w:val="single" w:sz="4" w:space="0" w:color="auto"/>
                  </w:tcBorders>
                  <w:shd w:val="clear" w:color="auto" w:fill="auto"/>
                  <w:noWrap/>
                  <w:vAlign w:val="bottom"/>
                  <w:hideMark/>
                </w:tcPr>
                <w:p w:rsidR="00EF2664" w:rsidRPr="00EF2664" w:rsidRDefault="00EF2664" w:rsidP="00EF2664">
                  <w:pPr>
                    <w:spacing w:after="0" w:line="240" w:lineRule="auto"/>
                    <w:jc w:val="center"/>
                    <w:rPr>
                      <w:rFonts w:eastAsia="Times New Roman" w:cs="Arial"/>
                    </w:rPr>
                  </w:pPr>
                  <w:r w:rsidRPr="00EF2664">
                    <w:rPr>
                      <w:rFonts w:eastAsia="Times New Roman" w:cs="Arial"/>
                    </w:rPr>
                    <w:t>B</w:t>
                  </w:r>
                </w:p>
              </w:tc>
            </w:tr>
          </w:tbl>
          <w:p w:rsidR="00EF2664" w:rsidRPr="00EF2664" w:rsidRDefault="00EF2664" w:rsidP="00EF2664"/>
        </w:tc>
      </w:tr>
      <w:tr w:rsidR="00EF2664" w:rsidRPr="00EF2664" w:rsidTr="00EF2664">
        <w:tc>
          <w:tcPr>
            <w:tcW w:w="10874" w:type="dxa"/>
          </w:tcPr>
          <w:p w:rsidR="00EF2664" w:rsidRPr="00EF2664" w:rsidRDefault="00EF2664" w:rsidP="00EF2664"/>
        </w:tc>
      </w:tr>
    </w:tbl>
    <w:p w:rsidR="00EF2664" w:rsidRPr="00EF2664" w:rsidRDefault="00EF2664" w:rsidP="00EF2664">
      <w:pPr>
        <w:rPr>
          <w:b/>
        </w:rPr>
      </w:pPr>
    </w:p>
    <w:tbl>
      <w:tblPr>
        <w:tblStyle w:val="TableGrid"/>
        <w:tblW w:w="0" w:type="auto"/>
        <w:tblLook w:val="04A0" w:firstRow="1" w:lastRow="0" w:firstColumn="1" w:lastColumn="0" w:noHBand="0" w:noVBand="1"/>
      </w:tblPr>
      <w:tblGrid>
        <w:gridCol w:w="925"/>
        <w:gridCol w:w="10084"/>
      </w:tblGrid>
      <w:tr w:rsidR="00EF2664" w:rsidRPr="00EF2664" w:rsidTr="00EF2664">
        <w:tc>
          <w:tcPr>
            <w:tcW w:w="0" w:type="auto"/>
          </w:tcPr>
          <w:p w:rsidR="00EF2664" w:rsidRPr="00EF2664" w:rsidRDefault="00EF2664" w:rsidP="00EF2664">
            <w:pPr>
              <w:rPr>
                <w:b/>
              </w:rPr>
            </w:pPr>
            <w:r w:rsidRPr="00EF2664">
              <w:rPr>
                <w:b/>
              </w:rPr>
              <w:t>*Notes:</w:t>
            </w:r>
          </w:p>
        </w:tc>
        <w:tc>
          <w:tcPr>
            <w:tcW w:w="0" w:type="auto"/>
          </w:tcPr>
          <w:p w:rsidR="00EF2664" w:rsidRPr="00EF2664" w:rsidRDefault="00EF2664" w:rsidP="00EF2664">
            <w:pPr>
              <w:rPr>
                <w:b/>
              </w:rPr>
            </w:pPr>
          </w:p>
        </w:tc>
      </w:tr>
      <w:tr w:rsidR="00EF2664" w:rsidRPr="00EF2664" w:rsidTr="00EF2664">
        <w:tc>
          <w:tcPr>
            <w:tcW w:w="0" w:type="auto"/>
          </w:tcPr>
          <w:p w:rsidR="00EF2664" w:rsidRPr="00EF2664" w:rsidRDefault="00EF2664" w:rsidP="00EF2664">
            <w:pPr>
              <w:rPr>
                <w:b/>
              </w:rPr>
            </w:pPr>
            <w:r w:rsidRPr="00EF2664">
              <w:rPr>
                <w:b/>
              </w:rPr>
              <w:t>A</w:t>
            </w:r>
          </w:p>
        </w:tc>
        <w:tc>
          <w:tcPr>
            <w:tcW w:w="0" w:type="auto"/>
          </w:tcPr>
          <w:p w:rsidR="00EF2664" w:rsidRPr="00EF2664" w:rsidRDefault="00EF2664" w:rsidP="00EF2664">
            <w:r w:rsidRPr="00EF2664">
              <w:rPr>
                <w:rFonts w:cs="Arial"/>
              </w:rPr>
              <w:t xml:space="preserve">70% non-EFT and 100 % EFT payments and most types of adjustments at the time of calculating the early draw </w:t>
            </w:r>
          </w:p>
        </w:tc>
      </w:tr>
      <w:tr w:rsidR="00EF2664" w:rsidRPr="00EF2664" w:rsidTr="00EF2664">
        <w:tc>
          <w:tcPr>
            <w:tcW w:w="0" w:type="auto"/>
          </w:tcPr>
          <w:p w:rsidR="00EF2664" w:rsidRPr="00EF2664" w:rsidRDefault="00EF2664" w:rsidP="00EF2664">
            <w:pPr>
              <w:rPr>
                <w:b/>
              </w:rPr>
            </w:pPr>
            <w:r w:rsidRPr="00EF2664">
              <w:rPr>
                <w:b/>
              </w:rPr>
              <w:t>B</w:t>
            </w:r>
          </w:p>
        </w:tc>
        <w:tc>
          <w:tcPr>
            <w:tcW w:w="0" w:type="auto"/>
          </w:tcPr>
          <w:p w:rsidR="00EF2664" w:rsidRPr="00EF2664" w:rsidRDefault="00EF2664" w:rsidP="00EF2664">
            <w:r w:rsidRPr="00EF2664">
              <w:rPr>
                <w:rFonts w:cs="Arial"/>
              </w:rPr>
              <w:t>Any outstanding items not accounted for in early draw(s)for the accounting month</w:t>
            </w:r>
          </w:p>
        </w:tc>
      </w:tr>
      <w:tr w:rsidR="00EF2664" w:rsidRPr="00EF2664" w:rsidTr="00EF2664">
        <w:tc>
          <w:tcPr>
            <w:tcW w:w="0" w:type="auto"/>
          </w:tcPr>
          <w:p w:rsidR="00EF2664" w:rsidRPr="00EF2664" w:rsidRDefault="00EF2664" w:rsidP="00EF2664">
            <w:pPr>
              <w:rPr>
                <w:b/>
              </w:rPr>
            </w:pPr>
            <w:r w:rsidRPr="00EF2664">
              <w:rPr>
                <w:b/>
              </w:rPr>
              <w:t>C</w:t>
            </w:r>
          </w:p>
        </w:tc>
        <w:tc>
          <w:tcPr>
            <w:tcW w:w="0" w:type="auto"/>
          </w:tcPr>
          <w:p w:rsidR="00EF2664" w:rsidRPr="00EF2664" w:rsidRDefault="00EF2664" w:rsidP="00EF2664">
            <w:r w:rsidRPr="00EF2664">
              <w:rPr>
                <w:rFonts w:cs="Arial"/>
              </w:rPr>
              <w:t>70 %NON-EFT payments and most types of  adjustments at the time of calculating the early draw</w:t>
            </w:r>
          </w:p>
        </w:tc>
      </w:tr>
      <w:tr w:rsidR="00EF2664" w:rsidRPr="00EF2664" w:rsidTr="00EF2664">
        <w:tc>
          <w:tcPr>
            <w:tcW w:w="0" w:type="auto"/>
          </w:tcPr>
          <w:p w:rsidR="00EF2664" w:rsidRPr="00EF2664" w:rsidRDefault="00EF2664" w:rsidP="00EF2664">
            <w:pPr>
              <w:rPr>
                <w:b/>
              </w:rPr>
            </w:pPr>
            <w:r w:rsidRPr="00EF2664">
              <w:rPr>
                <w:b/>
              </w:rPr>
              <w:t>D</w:t>
            </w:r>
          </w:p>
        </w:tc>
        <w:tc>
          <w:tcPr>
            <w:tcW w:w="0" w:type="auto"/>
          </w:tcPr>
          <w:p w:rsidR="00EF2664" w:rsidRPr="00EF2664" w:rsidRDefault="00EF2664" w:rsidP="00EF2664">
            <w:r w:rsidRPr="00EF2664">
              <w:rPr>
                <w:rFonts w:cs="Arial"/>
              </w:rPr>
              <w:t>100 % EFT payments posted to system</w:t>
            </w:r>
          </w:p>
        </w:tc>
      </w:tr>
    </w:tbl>
    <w:p w:rsidR="00EF2664" w:rsidRPr="00EF2664" w:rsidRDefault="00EF2664" w:rsidP="00EF2664">
      <w:r w:rsidRPr="00EF2664">
        <w:t xml:space="preserve">For the accounting months of June and December the final payment will encompass more adjustments than usual since the early draw was run earlier in the month. </w:t>
      </w:r>
    </w:p>
    <w:p w:rsidR="00EF2664" w:rsidRDefault="00EF2664" w:rsidP="00EF2664">
      <w:pPr>
        <w:pStyle w:val="ListParagraph"/>
        <w:numPr>
          <w:ilvl w:val="0"/>
          <w:numId w:val="2"/>
        </w:numPr>
      </w:pPr>
      <w:r w:rsidRPr="00EF2664">
        <w:t>Accounting month = Report month on the new ST locality reports</w:t>
      </w:r>
    </w:p>
    <w:p w:rsidR="00EF2664" w:rsidRDefault="00EF2664">
      <w:r>
        <w:br w:type="page"/>
      </w:r>
    </w:p>
    <w:p w:rsidR="00EF2664" w:rsidRDefault="00EF2664" w:rsidP="00EF2664">
      <w:pPr>
        <w:pStyle w:val="NoSpacing"/>
      </w:pPr>
      <w:r w:rsidRPr="00EF2664">
        <w:t xml:space="preserve">Q:  </w:t>
      </w:r>
      <w:r w:rsidRPr="00EF2664">
        <w:rPr>
          <w:b/>
        </w:rPr>
        <w:t>What does each Sales Tax distribution payment contain and how were the payment amounts calculated before and after the upgrade to a systematic determination of distribution on 4/1/2016?</w:t>
      </w:r>
    </w:p>
    <w:p w:rsidR="00EF2664" w:rsidRPr="00EF2664" w:rsidRDefault="00EF2664" w:rsidP="00EF2664">
      <w:pPr>
        <w:pStyle w:val="NoSpacing"/>
      </w:pPr>
      <w:r w:rsidRPr="00EF2664">
        <w:t xml:space="preserve">A: </w:t>
      </w:r>
    </w:p>
    <w:tbl>
      <w:tblPr>
        <w:tblStyle w:val="TableGrid"/>
        <w:tblW w:w="10368" w:type="dxa"/>
        <w:tblLook w:val="04A0" w:firstRow="1" w:lastRow="0" w:firstColumn="1" w:lastColumn="0" w:noHBand="0" w:noVBand="1"/>
      </w:tblPr>
      <w:tblGrid>
        <w:gridCol w:w="1728"/>
        <w:gridCol w:w="4050"/>
        <w:gridCol w:w="4590"/>
      </w:tblGrid>
      <w:tr w:rsidR="00EF2664" w:rsidRPr="00EF2664" w:rsidTr="00EF2664">
        <w:tc>
          <w:tcPr>
            <w:tcW w:w="1728" w:type="dxa"/>
          </w:tcPr>
          <w:p w:rsidR="00EF2664" w:rsidRPr="00EF2664" w:rsidRDefault="00EF2664" w:rsidP="00EF2664">
            <w:pPr>
              <w:rPr>
                <w:b/>
              </w:rPr>
            </w:pPr>
            <w:r w:rsidRPr="00EF2664">
              <w:rPr>
                <w:b/>
              </w:rPr>
              <w:t>Effective Dates</w:t>
            </w:r>
          </w:p>
        </w:tc>
        <w:tc>
          <w:tcPr>
            <w:tcW w:w="4050" w:type="dxa"/>
          </w:tcPr>
          <w:p w:rsidR="00EF2664" w:rsidRPr="00EF2664" w:rsidRDefault="00EF2664" w:rsidP="00EF2664">
            <w:pPr>
              <w:jc w:val="center"/>
              <w:rPr>
                <w:b/>
              </w:rPr>
            </w:pPr>
            <w:r w:rsidRPr="00EF2664">
              <w:rPr>
                <w:b/>
              </w:rPr>
              <w:t>&lt; 4/1/2016</w:t>
            </w:r>
          </w:p>
        </w:tc>
        <w:tc>
          <w:tcPr>
            <w:tcW w:w="4590" w:type="dxa"/>
          </w:tcPr>
          <w:p w:rsidR="00EF2664" w:rsidRPr="00EF2664" w:rsidRDefault="00EF2664" w:rsidP="00EF2664">
            <w:pPr>
              <w:jc w:val="center"/>
              <w:rPr>
                <w:b/>
              </w:rPr>
            </w:pPr>
            <w:r w:rsidRPr="00EF2664">
              <w:rPr>
                <w:b/>
              </w:rPr>
              <w:t>&gt;= 4/1/2016</w:t>
            </w:r>
          </w:p>
        </w:tc>
      </w:tr>
      <w:tr w:rsidR="00EF2664" w:rsidRPr="00EF2664" w:rsidTr="00EF2664">
        <w:tc>
          <w:tcPr>
            <w:tcW w:w="1728" w:type="dxa"/>
          </w:tcPr>
          <w:p w:rsidR="00EF2664" w:rsidRPr="00EF2664" w:rsidRDefault="00EF2664" w:rsidP="00EF2664">
            <w:pPr>
              <w:rPr>
                <w:b/>
              </w:rPr>
            </w:pPr>
            <w:r w:rsidRPr="00EF2664">
              <w:t>(</w:t>
            </w:r>
            <w:r w:rsidRPr="00EF2664">
              <w:rPr>
                <w:b/>
              </w:rPr>
              <w:t xml:space="preserve">A)Early Draw </w:t>
            </w:r>
          </w:p>
          <w:p w:rsidR="00EF2664" w:rsidRPr="00EF2664" w:rsidRDefault="00EF2664" w:rsidP="00EF2664"/>
          <w:p w:rsidR="00EF2664" w:rsidRPr="00EF2664" w:rsidRDefault="00EF2664" w:rsidP="00EF2664">
            <w:r w:rsidRPr="00EF2664">
              <w:rPr>
                <w:u w:val="single"/>
              </w:rPr>
              <w:t>(1) Accounting Months returns are not due:</w:t>
            </w:r>
          </w:p>
          <w:p w:rsidR="00EF2664" w:rsidRPr="00EF2664" w:rsidRDefault="00EF2664" w:rsidP="00EF2664">
            <w:pPr>
              <w:jc w:val="center"/>
            </w:pPr>
            <w:r w:rsidRPr="00EF2664">
              <w:t>January</w:t>
            </w:r>
          </w:p>
          <w:p w:rsidR="00EF2664" w:rsidRPr="00EF2664" w:rsidRDefault="00EF2664" w:rsidP="00EF2664">
            <w:pPr>
              <w:jc w:val="center"/>
            </w:pPr>
            <w:r w:rsidRPr="00EF2664">
              <w:t>February</w:t>
            </w:r>
          </w:p>
          <w:p w:rsidR="00EF2664" w:rsidRPr="00EF2664" w:rsidRDefault="00EF2664" w:rsidP="00EF2664">
            <w:pPr>
              <w:jc w:val="center"/>
            </w:pPr>
            <w:r w:rsidRPr="00EF2664">
              <w:t>April</w:t>
            </w:r>
          </w:p>
          <w:p w:rsidR="00EF2664" w:rsidRPr="00EF2664" w:rsidRDefault="00EF2664" w:rsidP="00EF2664">
            <w:pPr>
              <w:jc w:val="center"/>
            </w:pPr>
            <w:r w:rsidRPr="00EF2664">
              <w:t>May</w:t>
            </w:r>
          </w:p>
          <w:p w:rsidR="00EF2664" w:rsidRPr="00EF2664" w:rsidRDefault="00EF2664" w:rsidP="00EF2664">
            <w:pPr>
              <w:jc w:val="center"/>
            </w:pPr>
            <w:r w:rsidRPr="00EF2664">
              <w:t>July</w:t>
            </w:r>
          </w:p>
          <w:p w:rsidR="00EF2664" w:rsidRPr="00EF2664" w:rsidRDefault="00EF2664" w:rsidP="00EF2664">
            <w:pPr>
              <w:jc w:val="center"/>
            </w:pPr>
            <w:r w:rsidRPr="00EF2664">
              <w:t>August</w:t>
            </w:r>
          </w:p>
          <w:p w:rsidR="00EF2664" w:rsidRPr="00EF2664" w:rsidRDefault="00EF2664" w:rsidP="00EF2664">
            <w:pPr>
              <w:jc w:val="center"/>
            </w:pPr>
            <w:r w:rsidRPr="00EF2664">
              <w:t>October</w:t>
            </w:r>
          </w:p>
          <w:p w:rsidR="00EF2664" w:rsidRPr="00EF2664" w:rsidRDefault="00EF2664" w:rsidP="00EF2664">
            <w:pPr>
              <w:jc w:val="center"/>
            </w:pPr>
            <w:r w:rsidRPr="00EF2664">
              <w:t>November</w:t>
            </w:r>
          </w:p>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r w:rsidRPr="00EF2664">
              <w:t>(2)</w:t>
            </w:r>
            <w:r w:rsidRPr="00EF2664">
              <w:rPr>
                <w:u w:val="single"/>
              </w:rPr>
              <w:t>Accounting Months</w:t>
            </w:r>
            <w:r w:rsidRPr="00EF2664">
              <w:t xml:space="preserve"> </w:t>
            </w:r>
          </w:p>
          <w:p w:rsidR="00EF2664" w:rsidRPr="00EF2664" w:rsidRDefault="00EF2664" w:rsidP="00EF2664">
            <w:pPr>
              <w:rPr>
                <w:u w:val="single"/>
              </w:rPr>
            </w:pPr>
            <w:r w:rsidRPr="00EF2664">
              <w:rPr>
                <w:u w:val="single"/>
              </w:rPr>
              <w:t xml:space="preserve">Returns are due: </w:t>
            </w:r>
          </w:p>
          <w:p w:rsidR="00EF2664" w:rsidRPr="00EF2664" w:rsidRDefault="00EF2664" w:rsidP="00EF2664">
            <w:r w:rsidRPr="00EF2664">
              <w:t xml:space="preserve">  (a)One early draw month</w:t>
            </w:r>
          </w:p>
          <w:p w:rsidR="00EF2664" w:rsidRPr="00EF2664" w:rsidRDefault="00EF2664" w:rsidP="00EF2664"/>
          <w:p w:rsidR="00EF2664" w:rsidRPr="00EF2664" w:rsidRDefault="00EF2664" w:rsidP="00EF2664">
            <w:pPr>
              <w:jc w:val="center"/>
            </w:pPr>
            <w:r w:rsidRPr="00EF2664">
              <w:t>March</w:t>
            </w:r>
          </w:p>
          <w:p w:rsidR="00EF2664" w:rsidRPr="00EF2664" w:rsidRDefault="00EF2664" w:rsidP="00EF2664">
            <w:pPr>
              <w:jc w:val="center"/>
            </w:pPr>
            <w:r w:rsidRPr="00EF2664">
              <w:t>September</w:t>
            </w:r>
          </w:p>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r w:rsidRPr="00EF2664">
              <w:t xml:space="preserve">  (b)Two early draw months</w:t>
            </w:r>
          </w:p>
          <w:p w:rsidR="00EF2664" w:rsidRPr="00EF2664" w:rsidRDefault="00EF2664" w:rsidP="00EF2664"/>
          <w:p w:rsidR="00EF2664" w:rsidRPr="00EF2664" w:rsidRDefault="00EF2664" w:rsidP="00EF2664">
            <w:pPr>
              <w:jc w:val="center"/>
            </w:pPr>
            <w:r w:rsidRPr="00EF2664">
              <w:t>*June</w:t>
            </w:r>
          </w:p>
          <w:p w:rsidR="00EF2664" w:rsidRPr="00EF2664" w:rsidRDefault="00EF2664" w:rsidP="00EF2664">
            <w:pPr>
              <w:jc w:val="center"/>
            </w:pPr>
            <w:r w:rsidRPr="00EF2664">
              <w:t>*December</w:t>
            </w:r>
          </w:p>
        </w:tc>
        <w:tc>
          <w:tcPr>
            <w:tcW w:w="4050" w:type="dxa"/>
          </w:tcPr>
          <w:p w:rsidR="00EF2664" w:rsidRPr="00EF2664" w:rsidRDefault="00EF2664" w:rsidP="00EF2664">
            <w:pPr>
              <w:pStyle w:val="ListParagraph"/>
            </w:pPr>
          </w:p>
          <w:p w:rsidR="00EF2664" w:rsidRPr="00EF2664" w:rsidRDefault="00EF2664" w:rsidP="00EF2664">
            <w:pPr>
              <w:pStyle w:val="ListParagraph"/>
            </w:pPr>
          </w:p>
          <w:p w:rsidR="00EF2664" w:rsidRPr="00EF2664" w:rsidRDefault="00EF2664" w:rsidP="00EF2664">
            <w:r w:rsidRPr="00EF2664">
              <w:t>A percentage of Payments (70% of non EFT and 100% of EFT) for the month with a possible adjustment for material adjustments.  This early draw was completed manually and not systemically.</w:t>
            </w:r>
          </w:p>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p w:rsidR="00EF2664" w:rsidRPr="00EF2664" w:rsidRDefault="00EF2664" w:rsidP="00EF2664">
            <w:r w:rsidRPr="00EF2664">
              <w:t>Two components of early draw (one check):</w:t>
            </w:r>
          </w:p>
          <w:p w:rsidR="00EF2664" w:rsidRPr="00EF2664" w:rsidRDefault="00EF2664" w:rsidP="00EF2664">
            <w:r w:rsidRPr="00EF2664">
              <w:t xml:space="preserve">(1)A proration percentage was calculated using last years’ liability with an adjustment to what was already distributed for the quarter to the localities.  If material adjustments were known that was also factored in.  Also to avoid over drawing the locality for the month a conservative distribution was completed at the end of the calculation.  This early draw was completed manually and not systemically.  </w:t>
            </w:r>
          </w:p>
          <w:p w:rsidR="00EF2664" w:rsidRPr="00EF2664" w:rsidRDefault="00EF2664" w:rsidP="00EF2664">
            <w:r w:rsidRPr="00EF2664">
              <w:t>(2)100 % EFT payments</w:t>
            </w:r>
          </w:p>
          <w:p w:rsidR="00EF2664" w:rsidRPr="00EF2664" w:rsidRDefault="00EF2664" w:rsidP="00EF2664"/>
          <w:p w:rsidR="00EF2664" w:rsidRPr="00EF2664" w:rsidRDefault="00EF2664" w:rsidP="00EF2664">
            <w:r w:rsidRPr="00EF2664">
              <w:t>Same two components of early draws(see above) however sent separately</w:t>
            </w:r>
          </w:p>
          <w:p w:rsidR="00EF2664" w:rsidRPr="00EF2664" w:rsidRDefault="00EF2664" w:rsidP="00EF2664"/>
        </w:tc>
        <w:tc>
          <w:tcPr>
            <w:tcW w:w="4590" w:type="dxa"/>
          </w:tcPr>
          <w:p w:rsidR="00EF2664" w:rsidRPr="00EF2664" w:rsidRDefault="00EF2664" w:rsidP="00EF2664">
            <w:pPr>
              <w:rPr>
                <w:i/>
              </w:rPr>
            </w:pPr>
          </w:p>
          <w:p w:rsidR="00EF2664" w:rsidRPr="00EF2664" w:rsidRDefault="00EF2664" w:rsidP="00EF2664">
            <w:pPr>
              <w:rPr>
                <w:i/>
              </w:rPr>
            </w:pPr>
          </w:p>
          <w:p w:rsidR="00EF2664" w:rsidRPr="00EF2664" w:rsidRDefault="00EF2664" w:rsidP="00EF2664">
            <w:r w:rsidRPr="00EF2664">
              <w:t>The same</w:t>
            </w:r>
            <w:r w:rsidRPr="00EF2664">
              <w:rPr>
                <w:i/>
              </w:rPr>
              <w:t xml:space="preserve"> </w:t>
            </w:r>
            <w:r w:rsidRPr="00EF2664">
              <w:t>percentage of payments (70% of non EFT payments and 100 % of EFT) for the month and including real time systematic adjustments (i.e. return adjustments, refunds, bank adjustments, retargets, &amp; credits forward) occurring on the ST processing system at the time the program for early draw runs.</w:t>
            </w:r>
          </w:p>
          <w:p w:rsidR="00EF2664" w:rsidRPr="00EF2664" w:rsidRDefault="00EF2664" w:rsidP="00EF2664">
            <w:r w:rsidRPr="00EF2664">
              <w:t>Note:</w:t>
            </w:r>
          </w:p>
          <w:p w:rsidR="00EF2664" w:rsidRPr="00EF2664" w:rsidRDefault="00EF2664" w:rsidP="00EF2664">
            <w:r w:rsidRPr="00EF2664">
              <w:t xml:space="preserve"> Your money could be up or down depending on whether or not your adjustments are more positive or negative.   Your total money for the calendar month won’t change but some of the adjustments that were accounted for in final draw are now accounted for in early draw as the system has real time adjustments.  </w:t>
            </w:r>
          </w:p>
          <w:p w:rsidR="00EF2664" w:rsidRPr="00EF2664" w:rsidRDefault="00EF2664" w:rsidP="00EF2664"/>
          <w:p w:rsidR="00EF2664" w:rsidRPr="00EF2664" w:rsidRDefault="00EF2664" w:rsidP="00EF2664">
            <w:r w:rsidRPr="00EF2664">
              <w:t>Methodology is the same as other months when the return is not due (see &gt;=4/1/2016 above).</w:t>
            </w:r>
          </w:p>
          <w:p w:rsidR="00EF2664" w:rsidRPr="00EF2664" w:rsidRDefault="00EF2664" w:rsidP="00EF2664"/>
          <w:p w:rsidR="00EF2664" w:rsidRPr="00EF2664" w:rsidRDefault="00EF2664" w:rsidP="00EF2664">
            <w:pPr>
              <w:pStyle w:val="ListParagraph"/>
              <w:ind w:left="820"/>
            </w:pPr>
          </w:p>
          <w:p w:rsidR="00EF2664" w:rsidRPr="00EF2664" w:rsidRDefault="00EF2664" w:rsidP="00EF2664"/>
          <w:p w:rsidR="00EF2664" w:rsidRPr="00EF2664" w:rsidRDefault="00EF2664" w:rsidP="00EF2664"/>
          <w:p w:rsidR="00EF2664" w:rsidRPr="00EF2664" w:rsidRDefault="00EF2664" w:rsidP="00EF2664">
            <w:r w:rsidRPr="00EF2664">
              <w:t>Note:</w:t>
            </w:r>
          </w:p>
          <w:p w:rsidR="00EF2664" w:rsidRPr="00EF2664" w:rsidRDefault="00EF2664" w:rsidP="00EF2664">
            <w:r w:rsidRPr="00EF2664">
              <w:t xml:space="preserve">In the months the returns are due the distribution for early draw will vary more due to the </w:t>
            </w:r>
            <w:proofErr w:type="spellStart"/>
            <w:r w:rsidRPr="00EF2664">
              <w:t>unproration</w:t>
            </w:r>
            <w:proofErr w:type="spellEnd"/>
            <w:r w:rsidRPr="00EF2664">
              <w:t xml:space="preserve"> and redistribution of prepayments based on the returns.</w:t>
            </w:r>
          </w:p>
          <w:p w:rsidR="00EF2664" w:rsidRPr="00EF2664" w:rsidRDefault="00EF2664" w:rsidP="00EF2664">
            <w:r w:rsidRPr="00EF2664">
              <w:t>Your money could be up or down depending on whether or not your adjustments are more positive or negative.</w:t>
            </w:r>
          </w:p>
          <w:p w:rsidR="00EF2664" w:rsidRPr="00EF2664" w:rsidRDefault="00EF2664" w:rsidP="00EF2664"/>
          <w:p w:rsidR="00EF2664" w:rsidRPr="00EF2664" w:rsidRDefault="00EF2664" w:rsidP="00EF2664">
            <w:r w:rsidRPr="00EF2664">
              <w:t xml:space="preserve">Same Methodology  as above;   however, two separate payments (The first distribution is 70 % non- EFT payments and  reflected for system adjustments, the second is only 100% of EFT payments) </w:t>
            </w:r>
          </w:p>
          <w:p w:rsidR="00EF2664" w:rsidRPr="00EF2664" w:rsidRDefault="00EF2664" w:rsidP="00EF2664">
            <w:pPr>
              <w:rPr>
                <w:i/>
              </w:rPr>
            </w:pPr>
            <w:r w:rsidRPr="00EF2664">
              <w:t xml:space="preserve"> Note:  Due to the two early draws occurring before the month end is complete; The draws will vary more than in March and December.</w:t>
            </w:r>
          </w:p>
          <w:p w:rsidR="00EF2664" w:rsidRPr="00EF2664" w:rsidRDefault="00EF2664" w:rsidP="00EF2664">
            <w:pPr>
              <w:rPr>
                <w:b/>
                <w:i/>
              </w:rPr>
            </w:pPr>
          </w:p>
        </w:tc>
      </w:tr>
    </w:tbl>
    <w:p w:rsidR="000166B9" w:rsidRDefault="000166B9"/>
    <w:p w:rsidR="000166B9" w:rsidRDefault="000166B9"/>
    <w:p w:rsidR="000166B9" w:rsidRDefault="000166B9"/>
    <w:p w:rsidR="000166B9" w:rsidRDefault="000166B9"/>
    <w:tbl>
      <w:tblPr>
        <w:tblStyle w:val="TableGrid"/>
        <w:tblW w:w="10368" w:type="dxa"/>
        <w:tblLook w:val="04A0" w:firstRow="1" w:lastRow="0" w:firstColumn="1" w:lastColumn="0" w:noHBand="0" w:noVBand="1"/>
      </w:tblPr>
      <w:tblGrid>
        <w:gridCol w:w="1728"/>
        <w:gridCol w:w="4050"/>
        <w:gridCol w:w="4590"/>
      </w:tblGrid>
      <w:tr w:rsidR="000166B9" w:rsidRPr="00EF2664" w:rsidTr="00494756">
        <w:tc>
          <w:tcPr>
            <w:tcW w:w="1728" w:type="dxa"/>
          </w:tcPr>
          <w:p w:rsidR="000166B9" w:rsidRPr="00EF2664" w:rsidRDefault="000166B9" w:rsidP="00494756">
            <w:pPr>
              <w:rPr>
                <w:b/>
              </w:rPr>
            </w:pPr>
            <w:r w:rsidRPr="00EF2664">
              <w:rPr>
                <w:b/>
              </w:rPr>
              <w:t>Effective Dates</w:t>
            </w:r>
          </w:p>
        </w:tc>
        <w:tc>
          <w:tcPr>
            <w:tcW w:w="4050" w:type="dxa"/>
          </w:tcPr>
          <w:p w:rsidR="000166B9" w:rsidRPr="00EF2664" w:rsidRDefault="000166B9" w:rsidP="00494756">
            <w:pPr>
              <w:jc w:val="center"/>
              <w:rPr>
                <w:b/>
              </w:rPr>
            </w:pPr>
            <w:r w:rsidRPr="00EF2664">
              <w:rPr>
                <w:b/>
              </w:rPr>
              <w:t>&lt; 4/1/2016</w:t>
            </w:r>
          </w:p>
        </w:tc>
        <w:tc>
          <w:tcPr>
            <w:tcW w:w="4590" w:type="dxa"/>
          </w:tcPr>
          <w:p w:rsidR="000166B9" w:rsidRPr="00EF2664" w:rsidRDefault="000166B9" w:rsidP="00494756">
            <w:pPr>
              <w:jc w:val="center"/>
              <w:rPr>
                <w:b/>
              </w:rPr>
            </w:pPr>
            <w:r w:rsidRPr="00EF2664">
              <w:rPr>
                <w:b/>
              </w:rPr>
              <w:t>&gt;= 4/1/2016</w:t>
            </w:r>
          </w:p>
        </w:tc>
      </w:tr>
      <w:tr w:rsidR="00EF2664" w:rsidRPr="00EF2664" w:rsidTr="00EF2664">
        <w:tc>
          <w:tcPr>
            <w:tcW w:w="1728" w:type="dxa"/>
          </w:tcPr>
          <w:p w:rsidR="00EF2664" w:rsidRPr="00EF2664" w:rsidRDefault="00EF2664" w:rsidP="00EF2664">
            <w:bookmarkStart w:id="0" w:name="_GoBack"/>
            <w:bookmarkEnd w:id="0"/>
            <w:r w:rsidRPr="00EF2664">
              <w:t>(</w:t>
            </w:r>
            <w:r w:rsidRPr="00EF2664">
              <w:rPr>
                <w:b/>
              </w:rPr>
              <w:t>B) Final Draw</w:t>
            </w:r>
          </w:p>
        </w:tc>
        <w:tc>
          <w:tcPr>
            <w:tcW w:w="4050" w:type="dxa"/>
          </w:tcPr>
          <w:p w:rsidR="00EF2664" w:rsidRPr="00EF2664" w:rsidRDefault="00EF2664" w:rsidP="00EF2664">
            <w:r w:rsidRPr="00EF2664">
              <w:t>The total due per locality for the accounting month minus any early draw distribution payments.  Since the early draw did not account for many adjustments the final payment would account for any vendor payments not distributed and most of the system adjustments.</w:t>
            </w:r>
          </w:p>
        </w:tc>
        <w:tc>
          <w:tcPr>
            <w:tcW w:w="4590" w:type="dxa"/>
          </w:tcPr>
          <w:p w:rsidR="00EF2664" w:rsidRPr="00EF2664" w:rsidRDefault="00EF2664" w:rsidP="00EF2664">
            <w:r w:rsidRPr="00EF2664">
              <w:t>The final draw payment will consist of vendor payments and any other adjustments not accounted for in the early draw</w:t>
            </w:r>
          </w:p>
          <w:p w:rsidR="00EF2664" w:rsidRPr="00EF2664" w:rsidRDefault="00EF2664" w:rsidP="00EF2664">
            <w:pPr>
              <w:ind w:left="460"/>
            </w:pPr>
          </w:p>
          <w:p w:rsidR="00EF2664" w:rsidRPr="00EF2664" w:rsidRDefault="00EF2664" w:rsidP="00EF2664">
            <w:r w:rsidRPr="00EF2664">
              <w:t xml:space="preserve">  The total money for the calendar month won’t change but some of the adjustments that were accounted for in final draw are now accounted for in early draw as the system has real time adjustments.  There are fewer adjustments reflected in the final draw except for June and December when early draw is run early.</w:t>
            </w:r>
          </w:p>
          <w:p w:rsidR="00EF2664" w:rsidRPr="00EF2664" w:rsidRDefault="00EF2664" w:rsidP="00EF2664"/>
        </w:tc>
      </w:tr>
    </w:tbl>
    <w:p w:rsidR="00EF2664" w:rsidRPr="00EF2664" w:rsidRDefault="00EF2664" w:rsidP="00EF2664"/>
    <w:p w:rsidR="00EF2664" w:rsidRPr="00EF2664" w:rsidRDefault="00EF2664" w:rsidP="00EF2664">
      <w:pPr>
        <w:pStyle w:val="ListParagraph"/>
        <w:ind w:left="0"/>
      </w:pPr>
      <w:r w:rsidRPr="00EF2664">
        <w:t xml:space="preserve">To Recap: It is still true that you should never compare payment to payment.  Your money for any sales tax liability quarter is received over four calendar months. See FAQ: Q: </w:t>
      </w:r>
      <w:r w:rsidRPr="00EF2664">
        <w:rPr>
          <w:b/>
        </w:rPr>
        <w:t>How do the prorated monthly payments get properly distributed?</w:t>
      </w:r>
    </w:p>
    <w:p w:rsidR="00EF2664" w:rsidRPr="00EF2664" w:rsidRDefault="00EF2664" w:rsidP="00EF2664">
      <w:r w:rsidRPr="00EF2664">
        <w:t xml:space="preserve"> </w:t>
      </w:r>
    </w:p>
    <w:p w:rsidR="00EF2664" w:rsidRPr="00EF2664" w:rsidRDefault="00EF2664" w:rsidP="00EF2664">
      <w:pPr>
        <w:pStyle w:val="ListParagraph"/>
        <w:ind w:left="990"/>
      </w:pPr>
    </w:p>
    <w:p w:rsidR="00B617D6" w:rsidRPr="00EF2664" w:rsidRDefault="00B617D6" w:rsidP="00CE7BF0"/>
    <w:sectPr w:rsidR="00B617D6" w:rsidRPr="00EF2664" w:rsidSect="00890D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5CB3"/>
    <w:multiLevelType w:val="multilevel"/>
    <w:tmpl w:val="A080C1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9D97807"/>
    <w:multiLevelType w:val="hybridMultilevel"/>
    <w:tmpl w:val="F1500BFA"/>
    <w:lvl w:ilvl="0" w:tplc="86B4154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01"/>
    <w:rsid w:val="000166B9"/>
    <w:rsid w:val="00034DC0"/>
    <w:rsid w:val="00035DE3"/>
    <w:rsid w:val="000A3AB5"/>
    <w:rsid w:val="002C5FB5"/>
    <w:rsid w:val="00310759"/>
    <w:rsid w:val="003E08B2"/>
    <w:rsid w:val="00402301"/>
    <w:rsid w:val="0042324C"/>
    <w:rsid w:val="005B67AE"/>
    <w:rsid w:val="00600CCF"/>
    <w:rsid w:val="00774ED5"/>
    <w:rsid w:val="00890D56"/>
    <w:rsid w:val="009A5242"/>
    <w:rsid w:val="00B617D6"/>
    <w:rsid w:val="00BB22B3"/>
    <w:rsid w:val="00BF78D1"/>
    <w:rsid w:val="00CE7BF0"/>
    <w:rsid w:val="00D7208C"/>
    <w:rsid w:val="00E1187E"/>
    <w:rsid w:val="00E30DE8"/>
    <w:rsid w:val="00E32C46"/>
    <w:rsid w:val="00EF2664"/>
    <w:rsid w:val="00F6796C"/>
    <w:rsid w:val="00FD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DC0"/>
    <w:pPr>
      <w:ind w:left="720"/>
      <w:contextualSpacing/>
    </w:pPr>
  </w:style>
  <w:style w:type="paragraph" w:styleId="BalloonText">
    <w:name w:val="Balloon Text"/>
    <w:basedOn w:val="Normal"/>
    <w:link w:val="BalloonTextChar"/>
    <w:uiPriority w:val="99"/>
    <w:semiHidden/>
    <w:unhideWhenUsed/>
    <w:rsid w:val="00BF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D1"/>
    <w:rPr>
      <w:rFonts w:ascii="Tahoma" w:hAnsi="Tahoma" w:cs="Tahoma"/>
      <w:sz w:val="16"/>
      <w:szCs w:val="16"/>
    </w:rPr>
  </w:style>
  <w:style w:type="paragraph" w:styleId="NoSpacing">
    <w:name w:val="No Spacing"/>
    <w:uiPriority w:val="1"/>
    <w:qFormat/>
    <w:rsid w:val="00EF26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DC0"/>
    <w:pPr>
      <w:ind w:left="720"/>
      <w:contextualSpacing/>
    </w:pPr>
  </w:style>
  <w:style w:type="paragraph" w:styleId="BalloonText">
    <w:name w:val="Balloon Text"/>
    <w:basedOn w:val="Normal"/>
    <w:link w:val="BalloonTextChar"/>
    <w:uiPriority w:val="99"/>
    <w:semiHidden/>
    <w:unhideWhenUsed/>
    <w:rsid w:val="00BF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D1"/>
    <w:rPr>
      <w:rFonts w:ascii="Tahoma" w:hAnsi="Tahoma" w:cs="Tahoma"/>
      <w:sz w:val="16"/>
      <w:szCs w:val="16"/>
    </w:rPr>
  </w:style>
  <w:style w:type="paragraph" w:styleId="NoSpacing">
    <w:name w:val="No Spacing"/>
    <w:uiPriority w:val="1"/>
    <w:qFormat/>
    <w:rsid w:val="00EF2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9975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Hargrave</dc:creator>
  <cp:lastModifiedBy>t00061</cp:lastModifiedBy>
  <cp:revision>2</cp:revision>
  <cp:lastPrinted>2016-05-04T13:40:00Z</cp:lastPrinted>
  <dcterms:created xsi:type="dcterms:W3CDTF">2016-07-20T15:39:00Z</dcterms:created>
  <dcterms:modified xsi:type="dcterms:W3CDTF">2016-07-20T15:39:00Z</dcterms:modified>
</cp:coreProperties>
</file>